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1040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ascii="宋体" w:hAnsi="宋体" w:eastAsia="宋体" w:cs="宋体"/>
                <w:b/>
                <w:sz w:val="52"/>
              </w:rPr>
              <w:t>2023年度</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昆山市花桥镇横漕社区居民委员会</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部门预算公开</w:t>
            </w:r>
          </w:p>
        </w:tc>
      </w:tr>
    </w:tbl>
    <w:p>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部门</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部门</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2023</w:t>
      </w:r>
      <w:r>
        <w:rPr>
          <w:rFonts w:hint="eastAsia" w:ascii="仿宋" w:hAnsi="仿宋" w:eastAsia="仿宋" w:cs="仿宋"/>
        </w:rPr>
        <w:t>年度</w:t>
      </w:r>
      <w:r>
        <w:rPr>
          <w:rFonts w:hint="eastAsia" w:ascii="仿宋" w:hAnsi="仿宋" w:eastAsia="仿宋" w:cs="仿宋"/>
          <w:lang w:val="en-US" w:eastAsia="zh-CN"/>
        </w:rPr>
        <w:t>部门</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2023</w:t>
      </w:r>
      <w:r>
        <w:rPr>
          <w:rFonts w:hint="eastAsia" w:ascii="仿宋" w:hAnsi="仿宋" w:eastAsia="仿宋" w:cs="仿宋"/>
          <w:b/>
          <w:bCs/>
          <w:lang w:val="en-US" w:eastAsia="zh-CN"/>
        </w:rPr>
        <w:t>年度</w:t>
      </w:r>
      <w:r>
        <w:rPr>
          <w:rFonts w:ascii="仿宋" w:hAnsi="仿宋" w:eastAsia="仿宋" w:cs="仿宋"/>
          <w:b/>
        </w:rPr>
        <w:t>部门预算表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w:t>
      </w:r>
      <w:r>
        <w:rPr>
          <w:rFonts w:hint="eastAsia" w:ascii="仿宋" w:hAnsi="仿宋" w:eastAsia="仿宋" w:cs="仿宋"/>
          <w:lang w:val="en-US" w:eastAsia="zh-CN"/>
        </w:rPr>
        <w:t>预算</w:t>
      </w:r>
      <w:r>
        <w:rPr>
          <w:rFonts w:hint="eastAsia" w:ascii="仿宋" w:hAnsi="仿宋" w:eastAsia="仿宋" w:cs="仿宋"/>
        </w:rPr>
        <w:t>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2023</w:t>
      </w:r>
      <w:r>
        <w:rPr>
          <w:rFonts w:hint="eastAsia" w:ascii="仿宋" w:hAnsi="仿宋" w:eastAsia="仿宋" w:cs="仿宋"/>
          <w:b/>
          <w:bCs/>
          <w:color w:val="000000"/>
          <w:sz w:val="30"/>
          <w:szCs w:val="30"/>
          <w:lang w:val="en-US" w:bidi="ar"/>
        </w:rPr>
        <w:t>年度</w:t>
      </w:r>
      <w:r>
        <w:rPr>
          <w:rFonts w:ascii="仿宋" w:hAnsi="仿宋" w:eastAsia="仿宋" w:cs="仿宋"/>
          <w:b/>
          <w:color w:val="000000"/>
          <w:sz w:val="30"/>
        </w:rPr>
        <w:t>部门</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部门概况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昆山市花桥镇横漕社区居民委员会辖区面积1.78平方公里，东至上海安亭泾，西至外青松公路，南至吴淞江，北至312国道，社区位于交通要塞，与沪接壤，商务密集，下辖15个商业小区，其中户籍人口约3345人，常</w:t>
      </w:r>
      <w:r>
        <w:rPr>
          <w:rFonts w:hint="eastAsia" w:ascii="仿宋" w:hAnsi="仿宋" w:eastAsia="仿宋" w:cs="仿宋"/>
          <w:lang w:val="en-US" w:eastAsia="zh-CN"/>
        </w:rPr>
        <w:t>住</w:t>
      </w:r>
      <w:bookmarkStart w:id="0" w:name="_GoBack"/>
      <w:bookmarkEnd w:id="0"/>
      <w:r>
        <w:rPr>
          <w:rFonts w:ascii="仿宋" w:hAnsi="仿宋" w:eastAsia="仿宋" w:cs="仿宋"/>
        </w:rPr>
        <w:t>人口约2万，目前横漕社区支委班子3人，居委班子4人，两委班子中交叉任职2人，党员总数44人，其中60周岁以上党员37人，党员总体上年龄偏大。</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昆山市花桥镇横漕社区居民委员会基本职有以下四个方面：</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管理职能:居民委员会是基层群众性自治组织，是中国人民民主专政和城市基层政权的重要基础，也是党和政府联系人民群众的桥梁和纽带之一。居民委员会在政府部门的指导下，在社区党组织的领导下完成社区卫生、社会保障、文化、卫健和治安等各项管理，完成社区成员代表大会，共建理事会确定的管理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2.服务职能:组织辖区居民进行便民服务，调解民间纠纷，协助维护社会治安，协助人民政府或者其它的派出机关做好与居民利益有关的公共卫生、优抚救济、青少年教育等各项公共事务和公益事业；</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3.教育职能:宣传宪法、法律、法规和国家的政策，维护居民的合法权益，教育居民履行依法应尽的各项义务;开展相关培训、文化娱乐和体育活动，开展新时代文明实践站相关活动，形成具有本社区特色的文化氛围，增强社区居民的归属感和凝聚力；</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4.监督职能:受辖区居民、物管会及业委会成员委托，反映居民的意见、要求和提出的建议，并及时将监督意见向上级机关部门反馈，对社区内的物业管理的履职情况进行监督；</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配合协助政府及其派出机构完成其他相关任务。</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二、</w:t>
      </w:r>
      <w:r>
        <w:rPr>
          <w:rFonts w:ascii="仿宋" w:hAnsi="仿宋" w:eastAsia="仿宋" w:cs="仿宋"/>
          <w:b/>
        </w:rPr>
        <w:t>部门</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1.</w:t>
      </w:r>
      <w:r>
        <w:rPr>
          <w:rFonts w:hint="eastAsia" w:ascii="仿宋" w:hAnsi="仿宋" w:eastAsia="仿宋" w:cs="仿宋"/>
        </w:rPr>
        <w:t>根据</w:t>
      </w:r>
      <w:r>
        <w:rPr>
          <w:rFonts w:hint="eastAsia" w:ascii="仿宋" w:hAnsi="仿宋" w:eastAsia="仿宋" w:cs="仿宋"/>
          <w:lang w:val="en-US" w:eastAsia="zh-CN"/>
        </w:rPr>
        <w:t>部门</w:t>
      </w:r>
      <w:r>
        <w:rPr>
          <w:rFonts w:hint="eastAsia" w:ascii="仿宋" w:hAnsi="仿宋" w:eastAsia="仿宋" w:cs="仿宋"/>
        </w:rPr>
        <w:t>职责分工，</w:t>
      </w:r>
      <w:r>
        <w:rPr>
          <w:rFonts w:ascii="仿宋" w:hAnsi="仿宋" w:eastAsia="仿宋" w:cs="仿宋"/>
        </w:rPr>
        <w:t>本部门无内设机构。本部门无下属单位。</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2.</w:t>
      </w:r>
      <w:r>
        <w:rPr>
          <w:rFonts w:hint="eastAsia" w:ascii="仿宋" w:hAnsi="仿宋" w:eastAsia="仿宋" w:cs="仿宋"/>
        </w:rPr>
        <w:t>从</w:t>
      </w:r>
      <w:r>
        <w:rPr>
          <w:rFonts w:hint="eastAsia" w:ascii="仿宋" w:hAnsi="仿宋" w:eastAsia="仿宋" w:cs="仿宋"/>
          <w:lang w:eastAsia="zh-CN"/>
        </w:rPr>
        <w:t>预算</w:t>
      </w:r>
      <w:r>
        <w:rPr>
          <w:rFonts w:hint="eastAsia" w:ascii="仿宋" w:hAnsi="仿宋" w:eastAsia="仿宋" w:cs="仿宋"/>
        </w:rPr>
        <w:t>单位构成看，纳入本</w:t>
      </w:r>
      <w:r>
        <w:rPr>
          <w:rFonts w:hint="eastAsia" w:ascii="仿宋" w:hAnsi="仿宋" w:eastAsia="仿宋" w:cs="仿宋"/>
          <w:lang w:val="en-US" w:eastAsia="zh-CN"/>
        </w:rPr>
        <w:t>部门</w:t>
      </w:r>
      <w:r>
        <w:rPr>
          <w:rFonts w:hint="eastAsia" w:ascii="仿宋" w:hAnsi="仿宋" w:eastAsia="仿宋" w:cs="仿宋"/>
          <w:lang w:eastAsia="zh-CN"/>
        </w:rPr>
        <w:t>2023</w:t>
      </w:r>
      <w:r>
        <w:rPr>
          <w:rFonts w:hint="eastAsia" w:ascii="仿宋" w:hAnsi="仿宋" w:eastAsia="仿宋" w:cs="仿宋"/>
        </w:rPr>
        <w:t>年</w:t>
      </w:r>
      <w:r>
        <w:rPr>
          <w:rFonts w:hint="eastAsia" w:ascii="仿宋" w:hAnsi="仿宋" w:eastAsia="仿宋" w:cs="仿宋"/>
          <w:lang w:val="en-US" w:eastAsia="zh-CN"/>
        </w:rPr>
        <w:t>部门</w:t>
      </w:r>
      <w:r>
        <w:rPr>
          <w:rFonts w:hint="eastAsia" w:ascii="仿宋" w:hAnsi="仿宋" w:eastAsia="仿宋" w:cs="仿宋"/>
        </w:rPr>
        <w:t>汇总</w:t>
      </w:r>
      <w:r>
        <w:rPr>
          <w:rFonts w:hint="eastAsia" w:ascii="仿宋" w:hAnsi="仿宋" w:eastAsia="仿宋" w:cs="仿宋"/>
          <w:lang w:eastAsia="zh-CN"/>
        </w:rPr>
        <w:t>预算</w:t>
      </w:r>
      <w:r>
        <w:rPr>
          <w:rFonts w:hint="eastAsia" w:ascii="仿宋" w:hAnsi="仿宋" w:eastAsia="仿宋" w:cs="仿宋"/>
        </w:rPr>
        <w:t>编制范围的预算单位共计</w:t>
      </w:r>
      <w:r>
        <w:rPr>
          <w:rFonts w:ascii="仿宋" w:hAnsi="仿宋" w:eastAsia="仿宋" w:cs="仿宋"/>
        </w:rPr>
        <w:t>1</w:t>
      </w:r>
      <w:r>
        <w:rPr>
          <w:rFonts w:hint="eastAsia" w:ascii="仿宋" w:hAnsi="仿宋" w:eastAsia="仿宋" w:cs="仿宋"/>
        </w:rPr>
        <w:t>家，具体包括：</w:t>
      </w:r>
      <w:r>
        <w:rPr>
          <w:rFonts w:ascii="仿宋" w:hAnsi="仿宋" w:eastAsia="仿宋" w:cs="仿宋"/>
        </w:rPr>
        <w:t>昆山市花桥镇横漕社区居民委员会。</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2023</w:t>
      </w:r>
      <w:r>
        <w:rPr>
          <w:rFonts w:hint="eastAsia" w:ascii="仿宋" w:hAnsi="仿宋" w:eastAsia="仿宋" w:cs="仿宋"/>
          <w:b/>
          <w:bCs/>
        </w:rPr>
        <w:t>年度</w:t>
      </w:r>
      <w:r>
        <w:rPr>
          <w:rFonts w:ascii="仿宋" w:hAnsi="仿宋" w:eastAsia="仿宋" w:cs="仿宋"/>
          <w:b/>
        </w:rPr>
        <w:t>部门主要工作任务及目标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横漕社区将在区管委会、社会事业局的正确领导下，大力实施和谐社区的建设。横漕社区结合本小区内居民组成特点，为有效发挥党的组织优势和群众自治、互助优势，创立了“心连心互助养老，手牵手幸福相伴”特色品牌项目，该项目以横漕社178“CLUB”志愿者团队为依托，结合各个小区楼道长、党员先锋，从各自出发把家的温暖逐渐延伸到楼道，到小区，进而延伸到整个社区。</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—、立足人员素质提升,社区和谐有新元素</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提升社区干部综合素质。切实加强干部的教育培训管理，转变工作理念，建立健全干部考核机制，提高干部干事创业的积极性。主动性、创造性。打造一支既了解农村住户实际，又熟谙城市社区建设知识的社区管理队伍。</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2、提升居民群众综合素质。坚持正面引导与教育并重的教育活动机制，通过开展形式多样的文化教育活动，倡导和推行居民群众崇尚学习，邻里团结、家庭和睦,健康低碳，科学文明的生活方式。</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二、立足改善和保障民生,社区服务有新突破</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1、强化服务质量。为居民提供计生服务、劳动保障、民政优抚、证明开具、政策咨询等一系列服务，始终把居民的事情当作头等大事来办理，把居民的困难当作自己的困难来关注。</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加强基础设施建设。2023年计划完成都会新峰用房建设工作，计划设置活动室、日间照料中心等居民活动场所，满足周边居民日常活动所需，让辖区居民更好地获得生活上的照料和便利，以及精神上的关爱和慰藉，更好地提高他们的生活质量。</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我们将以党建为引领，以服务为宗旨，充分发挥党支部的战斗堡垒和党员的先锋模范作用，</w:t>
      </w:r>
      <w:r>
        <w:rPr>
          <w:rFonts w:hint="eastAsia" w:ascii="仿宋" w:hAnsi="仿宋" w:eastAsia="仿宋" w:cs="仿宋"/>
          <w:lang w:val="en-US" w:eastAsia="zh-CN"/>
        </w:rPr>
        <w:t>立</w:t>
      </w:r>
      <w:r>
        <w:rPr>
          <w:rFonts w:ascii="仿宋" w:hAnsi="仿宋" w:eastAsia="仿宋" w:cs="仿宋"/>
        </w:rPr>
        <w:t>足本职，做好各项工作，引导居民把社区事当作自家事一样来关心，从而实现居民自我管理、自我教育、自我服务，激发居民群众参与社区建设的热情。我们将凝心聚力，始终“以百姓心为心”，推进“共建幸福横漕,共享幸福生活”，继续走好新时代长征路。</w:t>
      </w:r>
    </w:p>
    <w:p>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2023</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昆山市花桥镇横漕社区居民委员会</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rPr>
        <w:t>部门</w:t>
      </w:r>
      <w:r>
        <w:rPr>
          <w:rFonts w:ascii="仿宋" w:hAnsi="仿宋" w:eastAsia="仿宋" w:cs="仿宋"/>
          <w:b/>
          <w:sz w:val="44"/>
        </w:rPr>
        <w:t>预算表</w:t>
      </w:r>
    </w:p>
    <w:tbl>
      <w:tblPr>
        <w:tblStyle w:val="12"/>
        <w:tblW w:w="11329" w:type="dxa"/>
        <w:jc w:val="center"/>
        <w:tblLayout w:type="fixed"/>
        <w:tblCellMar>
          <w:top w:w="0" w:type="dxa"/>
          <w:left w:w="108" w:type="dxa"/>
          <w:bottom w:w="0" w:type="dxa"/>
          <w:right w:w="108" w:type="dxa"/>
        </w:tblCellMar>
      </w:tblPr>
      <w:tblGrid>
        <w:gridCol w:w="3908"/>
        <w:gridCol w:w="1869"/>
        <w:gridCol w:w="3704"/>
        <w:gridCol w:w="67"/>
        <w:gridCol w:w="1781"/>
      </w:tblGrid>
      <w:tr>
        <w:tblPrEx>
          <w:tblCellMar>
            <w:top w:w="0" w:type="dxa"/>
            <w:left w:w="108" w:type="dxa"/>
            <w:bottom w:w="0" w:type="dxa"/>
            <w:right w:w="108" w:type="dxa"/>
          </w:tblCellMar>
        </w:tblPrEx>
        <w:trPr>
          <w:cantSplit/>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CellMar>
            <w:top w:w="0" w:type="dxa"/>
            <w:left w:w="108" w:type="dxa"/>
            <w:bottom w:w="0" w:type="dxa"/>
            <w:right w:w="108" w:type="dxa"/>
          </w:tblCellMar>
        </w:tblPrEx>
        <w:trPr>
          <w:cantSplit/>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CellMar>
            <w:top w:w="0" w:type="dxa"/>
            <w:left w:w="108" w:type="dxa"/>
            <w:bottom w:w="0" w:type="dxa"/>
            <w:right w:w="108" w:type="dxa"/>
          </w:tblCellMar>
        </w:tblPrEx>
        <w:trPr>
          <w:cantSplit/>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color w:val="000000"/>
                <w:sz w:val="22"/>
                <w:szCs w:val="22"/>
                <w:lang w:eastAsia="ar-SA"/>
              </w:rPr>
              <w:t>昆山市花桥镇横漕社区居民委员会</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CellMar>
            <w:top w:w="0" w:type="dxa"/>
            <w:left w:w="108" w:type="dxa"/>
            <w:bottom w:w="0" w:type="dxa"/>
            <w:right w:w="108" w:type="dxa"/>
          </w:tblCellMar>
        </w:tblPrEx>
        <w:trPr>
          <w:cantSplit/>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CellMar>
            <w:top w:w="0" w:type="dxa"/>
            <w:left w:w="108" w:type="dxa"/>
            <w:bottom w:w="0" w:type="dxa"/>
            <w:right w:w="108" w:type="dxa"/>
          </w:tblCellMar>
        </w:tblPrEx>
        <w:trPr>
          <w:cantSplit/>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390.68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390.68</w:t>
            </w: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cantSplit/>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390.68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390.68</w:t>
            </w:r>
          </w:p>
        </w:tc>
      </w:tr>
      <w:tr>
        <w:tblPrEx>
          <w:tblCellMar>
            <w:top w:w="0" w:type="dxa"/>
            <w:left w:w="108" w:type="dxa"/>
            <w:bottom w:w="0" w:type="dxa"/>
            <w:right w:w="108" w:type="dxa"/>
          </w:tblCellMar>
        </w:tblPrEx>
        <w:trPr>
          <w:cantSplit/>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p>
        </w:tc>
      </w:tr>
      <w:tr>
        <w:tblPrEx>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390.68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390.68</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8"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0" w:hRule="atLeast"/>
        </w:trPr>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0" w:hRule="atLeast"/>
        </w:trPr>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0" w:hRule="atLeast"/>
        </w:trPr>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0" w:hRule="atLeast"/>
        </w:trPr>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部门</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部门</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0"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0"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390.68</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390.68</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390.68</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0"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007005</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昆山市花桥镇横漕社区居民委员会</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390.68</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390.68</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390.68</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9"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CellMar>
            <w:top w:w="55" w:type="dxa"/>
            <w:left w:w="55" w:type="dxa"/>
            <w:bottom w:w="55" w:type="dxa"/>
            <w:right w:w="55" w:type="dxa"/>
          </w:tblCellMar>
        </w:tblPrEx>
        <w:trPr>
          <w:cantSplit/>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CellMar>
            <w:top w:w="55" w:type="dxa"/>
            <w:left w:w="55" w:type="dxa"/>
            <w:bottom w:w="55" w:type="dxa"/>
            <w:right w:w="55" w:type="dxa"/>
          </w:tblCellMar>
        </w:tblPrEx>
        <w:trPr>
          <w:cantSplit/>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CellMar>
            <w:top w:w="55" w:type="dxa"/>
            <w:left w:w="55" w:type="dxa"/>
            <w:bottom w:w="55" w:type="dxa"/>
            <w:right w:w="55" w:type="dxa"/>
          </w:tblCellMar>
        </w:tblPrEx>
        <w:trPr>
          <w:cantSplit/>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CellMar>
            <w:top w:w="55" w:type="dxa"/>
            <w:left w:w="55" w:type="dxa"/>
            <w:bottom w:w="55" w:type="dxa"/>
            <w:right w:w="55" w:type="dxa"/>
          </w:tblCellMar>
        </w:tblPrEx>
        <w:trPr>
          <w:cantSplit/>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CellMar>
            <w:top w:w="55" w:type="dxa"/>
            <w:left w:w="55" w:type="dxa"/>
            <w:bottom w:w="55" w:type="dxa"/>
            <w:right w:w="55" w:type="dxa"/>
          </w:tblCellMar>
        </w:tblPrEx>
        <w:trPr>
          <w:cantSplit/>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212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城乡社区支出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城乡社区管理事务</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2120199</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其他城乡社区管理事务支出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5" w:type="dxa"/>
        <w:tblLayout w:type="fixed"/>
        <w:tblCellMar>
          <w:top w:w="55" w:type="dxa"/>
          <w:left w:w="55" w:type="dxa"/>
          <w:bottom w:w="55" w:type="dxa"/>
          <w:right w:w="55" w:type="dxa"/>
        </w:tblCellMar>
      </w:tblPr>
      <w:tblGrid>
        <w:gridCol w:w="3987"/>
        <w:gridCol w:w="3960"/>
        <w:gridCol w:w="3943"/>
        <w:gridCol w:w="3899"/>
      </w:tblGrid>
      <w:tr>
        <w:tblPrEx>
          <w:tblCellMar>
            <w:top w:w="55" w:type="dxa"/>
            <w:left w:w="55" w:type="dxa"/>
            <w:bottom w:w="55" w:type="dxa"/>
            <w:right w:w="55" w:type="dxa"/>
          </w:tblCellMar>
        </w:tblPrEx>
        <w:trPr>
          <w:cantSplit/>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CellMar>
            <w:top w:w="55" w:type="dxa"/>
            <w:left w:w="55" w:type="dxa"/>
            <w:bottom w:w="55" w:type="dxa"/>
            <w:right w:w="55" w:type="dxa"/>
          </w:tblCellMar>
        </w:tblPrEx>
        <w:trPr>
          <w:cantSplit/>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CellMar>
            <w:top w:w="55" w:type="dxa"/>
            <w:left w:w="55" w:type="dxa"/>
            <w:bottom w:w="55" w:type="dxa"/>
            <w:right w:w="55" w:type="dxa"/>
          </w:tblCellMar>
        </w:tblPrEx>
        <w:trPr>
          <w:cantSplit/>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sz w:val="22"/>
                <w:szCs w:val="22"/>
              </w:rPr>
              <w:t>昆山市花桥镇横漕社区居民委员会</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CellMar>
            <w:top w:w="55" w:type="dxa"/>
            <w:left w:w="55" w:type="dxa"/>
            <w:bottom w:w="55" w:type="dxa"/>
            <w:right w:w="55" w:type="dxa"/>
          </w:tblCellMar>
        </w:tblPrEx>
        <w:trPr>
          <w:cantSplit/>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CellMar>
            <w:top w:w="55" w:type="dxa"/>
            <w:left w:w="55" w:type="dxa"/>
            <w:bottom w:w="55" w:type="dxa"/>
            <w:right w:w="55" w:type="dxa"/>
          </w:tblCellMar>
        </w:tblPrEx>
        <w:trPr>
          <w:cantSplit/>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ascii="仿宋" w:hAnsi="仿宋" w:eastAsia="仿宋" w:cs="仿宋"/>
                <w:b/>
                <w:sz w:val="22"/>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390.68</w:t>
            </w: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390.68</w:t>
            </w: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p>
        </w:tc>
      </w:tr>
      <w:tr>
        <w:tblPrEx>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r>
    </w:tbl>
    <w:p>
      <w:pPr>
        <w:ind w:left="-220" w:leftChars="-100" w:firstLine="0" w:firstLineChars="0"/>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CellMar>
            <w:top w:w="55" w:type="dxa"/>
            <w:left w:w="55" w:type="dxa"/>
            <w:bottom w:w="55" w:type="dxa"/>
            <w:right w:w="55" w:type="dxa"/>
          </w:tblCellMar>
        </w:tblPrEx>
        <w:trPr>
          <w:cantSplit/>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CellMar>
            <w:top w:w="55" w:type="dxa"/>
            <w:left w:w="55" w:type="dxa"/>
            <w:bottom w:w="55" w:type="dxa"/>
            <w:right w:w="55" w:type="dxa"/>
          </w:tblCellMar>
        </w:tblPrEx>
        <w:trPr>
          <w:cantSplit/>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CellMar>
            <w:top w:w="55" w:type="dxa"/>
            <w:left w:w="55" w:type="dxa"/>
            <w:bottom w:w="55" w:type="dxa"/>
            <w:right w:w="55" w:type="dxa"/>
          </w:tblCellMar>
        </w:tblPrEx>
        <w:trPr>
          <w:cantSplit/>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CellMar>
            <w:top w:w="55" w:type="dxa"/>
            <w:left w:w="55" w:type="dxa"/>
            <w:bottom w:w="55" w:type="dxa"/>
            <w:right w:w="55" w:type="dxa"/>
          </w:tblCellMar>
        </w:tblPrEx>
        <w:trPr>
          <w:cantSplit/>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CellMar>
            <w:top w:w="55" w:type="dxa"/>
            <w:left w:w="55" w:type="dxa"/>
            <w:bottom w:w="55" w:type="dxa"/>
            <w:right w:w="55" w:type="dxa"/>
          </w:tblCellMar>
        </w:tblPrEx>
        <w:trPr>
          <w:cantSplit/>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390.68</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272.43</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249.23</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23.20</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118.25</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212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城乡社区支出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390.68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272.43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249.23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23.20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118.25</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城乡社区管理事务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390.68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272.43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249.23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23.20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118.25</w:t>
            </w:r>
          </w:p>
        </w:tc>
      </w:tr>
      <w:tr>
        <w:tblPrEx>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2120199</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其他城乡社区管理事务支出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390.68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272.43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249.23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23.20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118.25</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CellMar>
            <w:top w:w="55" w:type="dxa"/>
            <w:left w:w="55" w:type="dxa"/>
            <w:bottom w:w="55" w:type="dxa"/>
            <w:right w:w="55" w:type="dxa"/>
          </w:tblCellMar>
        </w:tblPrEx>
        <w:trPr>
          <w:cantSplit/>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CellMar>
            <w:top w:w="55" w:type="dxa"/>
            <w:left w:w="55" w:type="dxa"/>
            <w:bottom w:w="55" w:type="dxa"/>
            <w:right w:w="55" w:type="dxa"/>
          </w:tblCellMar>
        </w:tblPrEx>
        <w:trPr>
          <w:cantSplit/>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CellMar>
            <w:top w:w="55" w:type="dxa"/>
            <w:left w:w="55" w:type="dxa"/>
            <w:bottom w:w="55" w:type="dxa"/>
            <w:right w:w="55" w:type="dxa"/>
          </w:tblCellMar>
        </w:tblPrEx>
        <w:trPr>
          <w:cantSplit/>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sz w:val="22"/>
                <w:szCs w:val="22"/>
              </w:rPr>
              <w:t>昆山市花桥镇横漕社区居民委员会</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CellMar>
            <w:top w:w="55" w:type="dxa"/>
            <w:left w:w="55" w:type="dxa"/>
            <w:bottom w:w="55" w:type="dxa"/>
            <w:right w:w="55" w:type="dxa"/>
          </w:tblCellMar>
        </w:tblPrEx>
        <w:trPr>
          <w:cantSplit/>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CellMar>
            <w:top w:w="55" w:type="dxa"/>
            <w:left w:w="55" w:type="dxa"/>
            <w:bottom w:w="55" w:type="dxa"/>
            <w:right w:w="55" w:type="dxa"/>
          </w:tblCellMar>
        </w:tblPrEx>
        <w:trPr>
          <w:cantSplit/>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cantSplit/>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272.43</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249.23</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23.20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20.20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奖励金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31002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CellMar>
            <w:top w:w="55" w:type="dxa"/>
            <w:left w:w="55" w:type="dxa"/>
            <w:bottom w:w="55" w:type="dxa"/>
            <w:right w:w="55" w:type="dxa"/>
          </w:tblCellMar>
        </w:tblPrEx>
        <w:trPr>
          <w:cantSplit/>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CellMar>
            <w:top w:w="55" w:type="dxa"/>
            <w:left w:w="55" w:type="dxa"/>
            <w:bottom w:w="55" w:type="dxa"/>
            <w:right w:w="55" w:type="dxa"/>
          </w:tblCellMar>
        </w:tblPrEx>
        <w:trPr>
          <w:cantSplit/>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CellMar>
            <w:top w:w="55" w:type="dxa"/>
            <w:left w:w="55" w:type="dxa"/>
            <w:bottom w:w="55" w:type="dxa"/>
            <w:right w:w="55" w:type="dxa"/>
          </w:tblCellMar>
        </w:tblPrEx>
        <w:trPr>
          <w:cantSplit/>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CellMar>
            <w:top w:w="55" w:type="dxa"/>
            <w:left w:w="55" w:type="dxa"/>
            <w:bottom w:w="55" w:type="dxa"/>
            <w:right w:w="55" w:type="dxa"/>
          </w:tblCellMar>
        </w:tblPrEx>
        <w:trPr>
          <w:cantSplit/>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CellMar>
            <w:top w:w="55" w:type="dxa"/>
            <w:left w:w="55" w:type="dxa"/>
            <w:bottom w:w="55" w:type="dxa"/>
            <w:right w:w="55" w:type="dxa"/>
          </w:tblCellMar>
        </w:tblPrEx>
        <w:trPr>
          <w:cantSplit/>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249.23</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23.20</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城乡社区支出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249.23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23.20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城乡社区管理事务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249.23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23.20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r>
      <w:tr>
        <w:tblPrEx>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2120199</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其他城乡社区管理事务支出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390.68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272.43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249.23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23.20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118.25</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4" w:type="dxa"/>
        <w:tblLayout w:type="fixed"/>
        <w:tblCellMar>
          <w:top w:w="55" w:type="dxa"/>
          <w:left w:w="55" w:type="dxa"/>
          <w:bottom w:w="55" w:type="dxa"/>
          <w:right w:w="55" w:type="dxa"/>
        </w:tblCellMar>
      </w:tblPr>
      <w:tblGrid>
        <w:gridCol w:w="1227"/>
        <w:gridCol w:w="3667"/>
        <w:gridCol w:w="2413"/>
        <w:gridCol w:w="1974"/>
        <w:gridCol w:w="1673"/>
      </w:tblGrid>
      <w:tr>
        <w:tblPrEx>
          <w:tblCellMar>
            <w:top w:w="55" w:type="dxa"/>
            <w:left w:w="55" w:type="dxa"/>
            <w:bottom w:w="55" w:type="dxa"/>
            <w:right w:w="55" w:type="dxa"/>
          </w:tblCellMar>
        </w:tblPrEx>
        <w:trPr>
          <w:cantSplit/>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CellMar>
            <w:top w:w="55" w:type="dxa"/>
            <w:left w:w="55" w:type="dxa"/>
            <w:bottom w:w="55" w:type="dxa"/>
            <w:right w:w="55" w:type="dxa"/>
          </w:tblCellMar>
        </w:tblPrEx>
        <w:trPr>
          <w:cantSplit/>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CellMar>
            <w:top w:w="55" w:type="dxa"/>
            <w:left w:w="55" w:type="dxa"/>
            <w:bottom w:w="55" w:type="dxa"/>
            <w:right w:w="55" w:type="dxa"/>
          </w:tblCellMar>
        </w:tblPrEx>
        <w:trPr>
          <w:cantSplit/>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CellMar>
            <w:top w:w="55" w:type="dxa"/>
            <w:left w:w="55" w:type="dxa"/>
            <w:bottom w:w="55" w:type="dxa"/>
            <w:right w:w="55" w:type="dxa"/>
          </w:tblCellMar>
        </w:tblPrEx>
        <w:trPr>
          <w:cantSplit/>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CellMar>
            <w:top w:w="55" w:type="dxa"/>
            <w:left w:w="55" w:type="dxa"/>
            <w:bottom w:w="55" w:type="dxa"/>
            <w:right w:w="55" w:type="dxa"/>
          </w:tblCellMar>
        </w:tblPrEx>
        <w:trPr>
          <w:cantSplit/>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cantSplit/>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272.43</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249.23</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23.20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246.84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20.20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20.20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30205</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维修（护）费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工会经费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奖励金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资本性支出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31002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办公设备购置</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CellMar>
            <w:top w:w="55" w:type="dxa"/>
            <w:left w:w="55" w:type="dxa"/>
            <w:bottom w:w="55" w:type="dxa"/>
            <w:right w:w="55" w:type="dxa"/>
          </w:tblCellMar>
        </w:tblPrEx>
        <w:trPr>
          <w:cantSplit/>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CellMar>
            <w:top w:w="55" w:type="dxa"/>
            <w:left w:w="55" w:type="dxa"/>
            <w:bottom w:w="55" w:type="dxa"/>
            <w:right w:w="55" w:type="dxa"/>
          </w:tblCellMar>
        </w:tblPrEx>
        <w:trPr>
          <w:cantSplit/>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CellMar>
            <w:top w:w="55" w:type="dxa"/>
            <w:left w:w="55" w:type="dxa"/>
            <w:bottom w:w="55" w:type="dxa"/>
            <w:right w:w="55" w:type="dxa"/>
          </w:tblCellMar>
        </w:tblPrEx>
        <w:trPr>
          <w:cantSplit/>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CellMar>
            <w:top w:w="55" w:type="dxa"/>
            <w:left w:w="55" w:type="dxa"/>
            <w:bottom w:w="55" w:type="dxa"/>
            <w:right w:w="55" w:type="dxa"/>
          </w:tblCellMar>
        </w:tblPrEx>
        <w:trPr>
          <w:cantSplit/>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CellMar>
            <w:top w:w="55" w:type="dxa"/>
            <w:left w:w="55" w:type="dxa"/>
            <w:bottom w:w="55" w:type="dxa"/>
            <w:right w:w="55" w:type="dxa"/>
          </w:tblCellMar>
        </w:tblPrEx>
        <w:trPr>
          <w:cantSplit/>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ascii="仿宋" w:hAnsi="仿宋" w:eastAsia="仿宋" w:cs="仿宋"/>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r>
    </w:tbl>
    <w:p>
      <w:pPr>
        <w:widowControl w:val="0"/>
        <w:numPr>
          <w:ilvl w:val="0"/>
          <w:numId w:val="0"/>
        </w:numPr>
        <w:suppressAutoHyphens/>
        <w:bidi w:val="0"/>
        <w:spacing w:before="0" w:after="0"/>
        <w:ind w:left="-220" w:leftChars="0" w:right="0" w:rightChars="0" w:firstLine="0" w:firstLineChars="0"/>
        <w:jc w:val="left"/>
        <w:rPr>
          <w:rFonts w:hint="eastAsia" w:ascii="仿宋" w:hAnsi="仿宋" w:eastAsia="仿宋" w:cs="仿宋"/>
          <w:b/>
          <w:bCs/>
          <w:sz w:val="22"/>
          <w:szCs w:val="22"/>
        </w:rPr>
      </w:pPr>
      <w:r>
        <w:rPr>
          <w:rFonts w:hint="eastAsia" w:ascii="仿宋" w:hAnsi="仿宋" w:eastAsia="仿宋" w:cs="仿宋"/>
          <w:b/>
          <w:bCs/>
          <w:sz w:val="22"/>
          <w:szCs w:val="22"/>
        </w:rPr>
        <w:t>注：</w:t>
      </w:r>
      <w:r>
        <w:rPr>
          <w:rFonts w:hint="eastAsia" w:ascii="仿宋" w:hAnsi="仿宋" w:eastAsia="仿宋" w:cs="仿宋"/>
          <w:b/>
          <w:bCs/>
          <w:sz w:val="22"/>
          <w:szCs w:val="22"/>
          <w:lang w:eastAsia="zh-CN"/>
        </w:rPr>
        <w:t>本</w:t>
      </w:r>
      <w:r>
        <w:rPr>
          <w:rFonts w:ascii="仿宋" w:hAnsi="仿宋" w:eastAsia="仿宋" w:cs="仿宋"/>
          <w:b/>
          <w:sz w:val="22"/>
        </w:rPr>
        <w:t>部门无一般公共预算“三公”经费、会议费、培训费支出，故本表无数据。</w:t>
      </w:r>
    </w:p>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6"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8" w:type="dxa"/>
        <w:tblLayout w:type="fixed"/>
        <w:tblCellMar>
          <w:top w:w="55" w:type="dxa"/>
          <w:left w:w="55" w:type="dxa"/>
          <w:bottom w:w="55" w:type="dxa"/>
          <w:right w:w="55" w:type="dxa"/>
        </w:tblCellMar>
      </w:tblPr>
      <w:tblGrid>
        <w:gridCol w:w="1618"/>
        <w:gridCol w:w="2834"/>
        <w:gridCol w:w="1783"/>
        <w:gridCol w:w="2092"/>
        <w:gridCol w:w="2485"/>
      </w:tblGrid>
      <w:tr>
        <w:tblPrEx>
          <w:tblCellMar>
            <w:top w:w="55" w:type="dxa"/>
            <w:left w:w="55" w:type="dxa"/>
            <w:bottom w:w="55" w:type="dxa"/>
            <w:right w:w="55" w:type="dxa"/>
          </w:tblCellMar>
        </w:tblPrEx>
        <w:trPr>
          <w:cantSplit/>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CellMar>
            <w:top w:w="55" w:type="dxa"/>
            <w:left w:w="55" w:type="dxa"/>
            <w:bottom w:w="55" w:type="dxa"/>
            <w:right w:w="55" w:type="dxa"/>
          </w:tblCellMar>
        </w:tblPrEx>
        <w:trPr>
          <w:cantSplit/>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CellMar>
            <w:top w:w="55" w:type="dxa"/>
            <w:left w:w="55" w:type="dxa"/>
            <w:bottom w:w="55" w:type="dxa"/>
            <w:right w:w="55" w:type="dxa"/>
          </w:tblCellMar>
        </w:tblPrEx>
        <w:trPr>
          <w:cantSplit/>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cantSplit/>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CellMar>
            <w:top w:w="55" w:type="dxa"/>
            <w:left w:w="55" w:type="dxa"/>
            <w:bottom w:w="55" w:type="dxa"/>
            <w:right w:w="55" w:type="dxa"/>
          </w:tblCellMar>
        </w:tblPrEx>
        <w:trPr>
          <w:cantSplit/>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cantSplit/>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r>
      <w:tr>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r>
      <w:tr>
        <w:tblPrEx>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rPr>
        <w:t>注：</w:t>
      </w:r>
      <w:r>
        <w:rPr>
          <w:rFonts w:hint="eastAsia" w:ascii="仿宋" w:hAnsi="仿宋" w:eastAsia="仿宋" w:cs="仿宋"/>
          <w:b/>
          <w:bCs/>
          <w:sz w:val="22"/>
          <w:szCs w:val="22"/>
          <w:lang w:val="en-US" w:eastAsia="zh-CN"/>
        </w:rPr>
        <w:t>本</w:t>
      </w:r>
      <w:r>
        <w:rPr>
          <w:rFonts w:ascii="仿宋" w:hAnsi="仿宋" w:eastAsia="仿宋" w:cs="仿宋"/>
          <w:b/>
          <w:sz w:val="22"/>
        </w:rPr>
        <w:t>部门无政府性基金预算，也没有使用政府性基金安排的支出，故本表无数据。</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7"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Layout w:type="fixed"/>
        <w:tblCellMar>
          <w:top w:w="0" w:type="dxa"/>
          <w:left w:w="108" w:type="dxa"/>
          <w:bottom w:w="0" w:type="dxa"/>
          <w:right w:w="108" w:type="dxa"/>
        </w:tblCellMar>
      </w:tblPr>
      <w:tblGrid>
        <w:gridCol w:w="1596"/>
        <w:gridCol w:w="3803"/>
        <w:gridCol w:w="3111"/>
        <w:gridCol w:w="3094"/>
        <w:gridCol w:w="3091"/>
      </w:tblGrid>
      <w:tr>
        <w:tblPrEx>
          <w:tblCellMar>
            <w:top w:w="0" w:type="dxa"/>
            <w:left w:w="108" w:type="dxa"/>
            <w:bottom w:w="0" w:type="dxa"/>
            <w:right w:w="108" w:type="dxa"/>
          </w:tblCellMar>
        </w:tblPrEx>
        <w:trPr>
          <w:cantSplit/>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CellMar>
            <w:top w:w="0" w:type="dxa"/>
            <w:left w:w="108" w:type="dxa"/>
            <w:bottom w:w="0" w:type="dxa"/>
            <w:right w:w="108" w:type="dxa"/>
          </w:tblCellMar>
        </w:tblPrEx>
        <w:trPr>
          <w:cantSplit/>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CellMar>
            <w:top w:w="0" w:type="dxa"/>
            <w:left w:w="108" w:type="dxa"/>
            <w:bottom w:w="0" w:type="dxa"/>
            <w:right w:w="108" w:type="dxa"/>
          </w:tblCellMar>
        </w:tblPrEx>
        <w:trPr>
          <w:cantSplit/>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CellMar>
            <w:top w:w="0" w:type="dxa"/>
            <w:left w:w="108" w:type="dxa"/>
            <w:bottom w:w="0" w:type="dxa"/>
            <w:right w:w="108" w:type="dxa"/>
          </w:tblCellMar>
        </w:tblPrEx>
        <w:trPr>
          <w:cantSplit/>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CellMar>
            <w:top w:w="0" w:type="dxa"/>
            <w:left w:w="108" w:type="dxa"/>
            <w:bottom w:w="0" w:type="dxa"/>
            <w:right w:w="108" w:type="dxa"/>
          </w:tblCellMar>
        </w:tblPrEx>
        <w:trPr>
          <w:cantSplit/>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CellMar>
            <w:top w:w="0" w:type="dxa"/>
            <w:left w:w="108" w:type="dxa"/>
            <w:bottom w:w="0" w:type="dxa"/>
            <w:right w:w="108" w:type="dxa"/>
          </w:tblCellMar>
        </w:tblPrEx>
        <w:trPr>
          <w:cantSplit/>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CellMar>
            <w:top w:w="0" w:type="dxa"/>
            <w:left w:w="108" w:type="dxa"/>
            <w:bottom w:w="0" w:type="dxa"/>
            <w:right w:w="108" w:type="dxa"/>
          </w:tblCellMar>
        </w:tblPrEx>
        <w:trPr>
          <w:cantSplit/>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r>
      <w:tr>
        <w:tblPrEx>
          <w:tblCellMar>
            <w:top w:w="0" w:type="dxa"/>
            <w:left w:w="108" w:type="dxa"/>
            <w:bottom w:w="0" w:type="dxa"/>
            <w:right w:w="108" w:type="dxa"/>
          </w:tblCellMar>
        </w:tblPrEx>
        <w:trPr>
          <w:cantSplit/>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sz w:val="22"/>
                <w:szCs w:val="22"/>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sz w:val="22"/>
                <w:szCs w:val="22"/>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r>
      <w:tr>
        <w:tblPrEx>
          <w:tblCellMar>
            <w:top w:w="0" w:type="dxa"/>
            <w:left w:w="108" w:type="dxa"/>
            <w:bottom w:w="0" w:type="dxa"/>
            <w:right w:w="108" w:type="dxa"/>
          </w:tblCellMar>
        </w:tblPrEx>
        <w:trPr>
          <w:cantSplit/>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sz w:val="22"/>
                <w:szCs w:val="22"/>
              </w:rPr>
            </w:pP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sz w:val="22"/>
                <w:szCs w:val="22"/>
              </w:rPr>
            </w:pP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right"/>
              <w:textAlignment w:val="auto"/>
              <w:rPr>
                <w:rFonts w:hint="eastAsia" w:ascii="仿宋" w:hAnsi="仿宋" w:eastAsia="仿宋" w:cs="仿宋"/>
                <w:color w:val="auto"/>
                <w:kern w:val="0"/>
                <w:sz w:val="22"/>
                <w:szCs w:val="22"/>
                <w:lang w:val="zh-CN" w:eastAsia="zh-CN" w:bidi="zh-CN"/>
              </w:rPr>
            </w:pP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ascii="仿宋" w:hAnsi="仿宋" w:eastAsia="仿宋" w:cs="仿宋"/>
          <w:b/>
          <w:sz w:val="22"/>
        </w:rPr>
        <w:t>注：本部门无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rPr>
        <w:t>，故本表无数据。</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CellMar>
            <w:top w:w="55" w:type="dxa"/>
            <w:left w:w="55" w:type="dxa"/>
            <w:bottom w:w="55" w:type="dxa"/>
            <w:right w:w="55" w:type="dxa"/>
          </w:tblCellMar>
        </w:tblPrEx>
        <w:trPr>
          <w:cantSplit/>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CellMar>
            <w:top w:w="55" w:type="dxa"/>
            <w:left w:w="55" w:type="dxa"/>
            <w:bottom w:w="55" w:type="dxa"/>
            <w:right w:w="55" w:type="dxa"/>
          </w:tblCellMar>
        </w:tblPrEx>
        <w:trPr>
          <w:cantSplit/>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CellMar>
            <w:top w:w="55" w:type="dxa"/>
            <w:left w:w="55" w:type="dxa"/>
            <w:bottom w:w="55" w:type="dxa"/>
            <w:right w:w="55" w:type="dxa"/>
          </w:tblCellMar>
        </w:tblPrEx>
        <w:trPr>
          <w:cantSplit/>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CellMar>
            <w:top w:w="55" w:type="dxa"/>
            <w:left w:w="55" w:type="dxa"/>
            <w:bottom w:w="55" w:type="dxa"/>
            <w:right w:w="55" w:type="dxa"/>
          </w:tblCellMar>
        </w:tblPrEx>
        <w:trPr>
          <w:cantSplit/>
          <w:trHeight w:val="1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CellMar>
            <w:top w:w="55" w:type="dxa"/>
            <w:left w:w="55" w:type="dxa"/>
            <w:bottom w:w="55" w:type="dxa"/>
            <w:right w:w="55" w:type="dxa"/>
          </w:tblCellMar>
        </w:tblPrEx>
        <w:trPr>
          <w:cantSplit/>
          <w:trHeight w:val="90"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31"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31"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numPr>
          <w:ilvl w:val="0"/>
          <w:numId w:val="0"/>
        </w:numPr>
        <w:tabs>
          <w:tab w:val="left" w:pos="-440"/>
        </w:tabs>
        <w:spacing w:before="25" w:after="0"/>
        <w:ind w:left="-440" w:leftChars="0" w:firstLine="0" w:firstLineChars="0"/>
        <w:rPr>
          <w:rFonts w:hint="eastAsia" w:ascii="仿宋" w:hAnsi="仿宋" w:eastAsia="仿宋" w:cs="仿宋"/>
          <w:b/>
          <w:bCs/>
          <w:sz w:val="22"/>
          <w:szCs w:val="22"/>
        </w:rPr>
      </w:pPr>
      <w:r>
        <w:rPr>
          <w:rFonts w:hint="eastAsia" w:ascii="仿宋" w:hAnsi="仿宋" w:eastAsia="仿宋" w:cs="仿宋"/>
          <w:b/>
          <w:bCs/>
          <w:sz w:val="22"/>
          <w:szCs w:val="22"/>
          <w:lang w:val="en-US" w:eastAsia="zh-CN"/>
        </w:rPr>
        <w:t>2.</w:t>
      </w:r>
      <w:r>
        <w:rPr>
          <w:rFonts w:hint="eastAsia" w:ascii="仿宋" w:hAnsi="仿宋" w:eastAsia="仿宋" w:cs="仿宋"/>
          <w:b/>
          <w:bCs/>
          <w:sz w:val="22"/>
          <w:szCs w:val="22"/>
          <w:lang w:eastAsia="zh-CN"/>
        </w:rPr>
        <w:t>本</w:t>
      </w:r>
      <w:r>
        <w:rPr>
          <w:rFonts w:ascii="仿宋" w:hAnsi="仿宋" w:eastAsia="仿宋" w:cs="仿宋"/>
          <w:b/>
          <w:sz w:val="22"/>
        </w:rPr>
        <w:t>部门无一般公共预算机关运行经费支出，故本表无数据。</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8"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6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776"/>
        <w:gridCol w:w="1105"/>
        <w:gridCol w:w="1121"/>
        <w:gridCol w:w="1192"/>
        <w:gridCol w:w="1200"/>
        <w:gridCol w:w="1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Pr>
        <w:tc>
          <w:tcPr>
            <w:tcW w:w="15676"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Pr>
        <w:tc>
          <w:tcPr>
            <w:tcW w:w="15676"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Pr>
        <w:tc>
          <w:tcPr>
            <w:tcW w:w="9510"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spacing w:line="240" w:lineRule="auto"/>
              <w:jc w:val="left"/>
              <w:rPr>
                <w:rFonts w:hint="eastAsia" w:ascii="仿宋" w:hAnsi="仿宋" w:eastAsia="仿宋" w:cs="仿宋"/>
                <w:lang w:val="en-US" w:eastAsia="zh-CN"/>
              </w:rPr>
            </w:pPr>
            <w:r>
              <w:rPr>
                <w:rFonts w:hint="eastAsia" w:ascii="仿宋" w:hAnsi="仿宋" w:eastAsia="仿宋" w:cs="仿宋"/>
                <w:color w:val="000000"/>
                <w:sz w:val="22"/>
                <w:szCs w:val="22"/>
                <w:lang w:eastAsia="zh-CN"/>
              </w:rPr>
              <w:t>部门</w:t>
            </w:r>
            <w:r>
              <w:rPr>
                <w:rFonts w:ascii="仿宋" w:hAnsi="仿宋" w:eastAsia="仿宋" w:cs="仿宋"/>
                <w:color w:val="000000"/>
                <w:sz w:val="22"/>
              </w:rPr>
              <w:t>：</w:t>
            </w:r>
            <w:r>
              <w:rPr>
                <w:rFonts w:hint="eastAsia" w:ascii="仿宋" w:hAnsi="仿宋" w:eastAsia="仿宋" w:cs="仿宋"/>
              </w:rPr>
              <w:t>昆山市花桥镇横漕社区居民委员会</w:t>
            </w:r>
          </w:p>
        </w:tc>
        <w:tc>
          <w:tcPr>
            <w:tcW w:w="4618"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spacing w:line="240" w:lineRule="auto"/>
              <w:jc w:val="left"/>
              <w:rPr>
                <w:rFonts w:hint="eastAsia" w:ascii="仿宋" w:hAnsi="仿宋" w:eastAsia="仿宋" w:cs="仿宋"/>
                <w:lang w:val="en-US" w:eastAsia="zh-CN"/>
              </w:rPr>
            </w:pPr>
          </w:p>
        </w:tc>
        <w:tc>
          <w:tcPr>
            <w:tcW w:w="1548"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spacing w:line="240" w:lineRule="auto"/>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Pr>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7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18"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548"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cantSplit/>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17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20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548"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1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20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54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default" w:ascii="仿宋" w:hAnsi="仿宋" w:eastAsia="仿宋" w:cs="仿宋"/>
                <w:color w:val="auto"/>
                <w:kern w:val="0"/>
                <w:sz w:val="22"/>
                <w:szCs w:val="22"/>
                <w:lang w:val="en-US" w:eastAsia="zh-CN" w:bidi="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1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20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54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cantSplit/>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仿宋" w:hAnsi="仿宋" w:eastAsia="仿宋" w:cs="仿宋"/>
                <w:color w:val="auto"/>
                <w:kern w:val="0"/>
                <w:sz w:val="22"/>
                <w:szCs w:val="22"/>
                <w:lang w:val="en-US" w:eastAsia="zh-CN" w:bidi="zh-CN"/>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17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仿宋" w:hAnsi="仿宋" w:eastAsia="仿宋" w:cs="仿宋"/>
                <w:color w:val="auto"/>
                <w:kern w:val="0"/>
                <w:sz w:val="22"/>
                <w:szCs w:val="22"/>
                <w:lang w:val="en-US" w:eastAsia="zh-CN" w:bidi="zh-CN"/>
              </w:rPr>
            </w:pPr>
          </w:p>
        </w:tc>
        <w:tc>
          <w:tcPr>
            <w:tcW w:w="1105"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1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19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20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c>
          <w:tcPr>
            <w:tcW w:w="154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240" w:lineRule="auto"/>
              <w:ind w:right="57" w:rightChars="0"/>
              <w:jc w:val="right"/>
              <w:textAlignment w:val="auto"/>
              <w:rPr>
                <w:rFonts w:hint="eastAsia" w:ascii="仿宋" w:hAnsi="仿宋" w:eastAsia="仿宋" w:cs="仿宋"/>
                <w:color w:val="auto"/>
                <w:kern w:val="0"/>
                <w:sz w:val="22"/>
                <w:szCs w:val="22"/>
                <w:lang w:val="en-US" w:eastAsia="zh-CN" w:bidi="zh-CN"/>
              </w:rPr>
            </w:pPr>
          </w:p>
        </w:tc>
      </w:tr>
    </w:tbl>
    <w:p>
      <w:pPr>
        <w:numPr>
          <w:ilvl w:val="0"/>
          <w:numId w:val="0"/>
        </w:numPr>
        <w:bidi w:val="0"/>
        <w:rPr>
          <w:rFonts w:hint="eastAsia" w:ascii="仿宋" w:hAnsi="仿宋" w:eastAsia="仿宋" w:cs="仿宋"/>
          <w:b/>
          <w:bCs/>
          <w:sz w:val="22"/>
          <w:szCs w:val="22"/>
        </w:rPr>
      </w:pPr>
      <w:r>
        <w:rPr>
          <w:rFonts w:hint="eastAsia" w:ascii="仿宋" w:hAnsi="仿宋" w:eastAsia="仿宋" w:cs="仿宋"/>
          <w:b/>
          <w:bCs/>
          <w:sz w:val="22"/>
          <w:szCs w:val="22"/>
        </w:rPr>
        <w:t>注：</w:t>
      </w:r>
      <w:r>
        <w:rPr>
          <w:rFonts w:hint="eastAsia" w:ascii="仿宋" w:hAnsi="仿宋" w:eastAsia="仿宋" w:cs="仿宋"/>
          <w:b/>
          <w:bCs/>
          <w:sz w:val="22"/>
          <w:szCs w:val="22"/>
          <w:lang w:eastAsia="zh-CN"/>
        </w:rPr>
        <w:t>本</w:t>
      </w:r>
      <w:r>
        <w:rPr>
          <w:rFonts w:ascii="仿宋" w:hAnsi="仿宋" w:eastAsia="仿宋" w:cs="仿宋"/>
          <w:b/>
          <w:sz w:val="22"/>
        </w:rPr>
        <w:t>部门无政府采购支出，故本表无数据。</w:t>
      </w:r>
    </w:p>
    <w:p>
      <w:pPr>
        <w:bidi w:val="0"/>
        <w:rPr>
          <w:rFonts w:hint="eastAsia" w:ascii="仿宋" w:hAnsi="仿宋" w:eastAsia="仿宋" w:cs="仿宋"/>
          <w:b/>
          <w:bCs/>
          <w:sz w:val="22"/>
          <w:szCs w:val="22"/>
        </w:rPr>
        <w:sectPr>
          <w:footerReference r:id="rId19" w:type="default"/>
          <w:pgSz w:w="16838" w:h="11906" w:orient="landscape"/>
          <w:pgMar w:top="1320" w:right="567" w:bottom="1320" w:left="56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2023</w:t>
      </w:r>
      <w:r>
        <w:rPr>
          <w:rFonts w:hint="eastAsia" w:ascii="仿宋" w:hAnsi="仿宋" w:eastAsia="仿宋" w:cs="仿宋"/>
          <w:b/>
          <w:bCs/>
          <w:sz w:val="44"/>
          <w:szCs w:val="44"/>
        </w:rPr>
        <w:t>年度</w:t>
      </w:r>
      <w:r>
        <w:rPr>
          <w:rFonts w:ascii="仿宋" w:hAnsi="仿宋" w:eastAsia="仿宋" w:cs="仿宋"/>
          <w:b/>
          <w:sz w:val="44"/>
        </w:rPr>
        <w:t>部门</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一、收支预算总体情况说明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昆山市花桥镇横漕社区居民委员会2023年度收入、支出预算总计390.68万元，与上年相比收、支预算总计各增加75.6万元，增长23.99%。</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（一）收入预算总计390.68万元。包括：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1．本年收入合计390.68万元。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（1）一般公共预算拨款收入390.68万元，与上年相比增加75.6万元，增长23.99%。主要原因是2022年部分项目预算由社区政经分开支付，2023年预算全部由财政拨款。</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（2）政府性基金预算拨款收入0万元，与上年预算数相同。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（3）国有资本经营预算拨款收入0万元，与上年预算数相同。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（4）财政专户管理资金收入0万元，与上年预算数相同。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（5）事业收入0万元，与上年预算数相同。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（6）事业单位经营收入0万元，与上年预算数相同。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（7）上级补助收入0万元，与上年预算数相同。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（8）附属单位上缴收入0万元，与上年预算数相同。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（9）其他收入0万元，与上年预算数相同。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2．上年结转结余为0万元。与上年预算数相同。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（二）支出预算总计390.68万元。包括：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1．本年支出合计390.68万元。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城乡社区支出（类）支出390.68万元，主要用于人员工资、居民福利、社区建设及治理、党组织为民服务经费。与上年相比增加75.6万元，增长23.99%。主要原因是2022年部分项目预算由社区政经分开支付，2023年预算全部由财政拨款。</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2．年终结转结余为0万元。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昆山市花桥镇横漕社区居民委员会2023年收入预算合计390.68万元，包括本年收入390.68万元，上年结转结余0万元。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本年一般公共预算收入390.68万元，占100%；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本年政府性基金预算收入0万元，占0%；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本年国有资本经营预算收入0万元，占0%；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本年财政专户管理资金0万元，占0%；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本年事业收入0万元，占0%；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本年事业单位经营收入0万元，占0%；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本年上级补助收入0万元，占0%；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本年附属单位上缴收入0万元，占0%；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本年其他收入0万元，占0%；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上年结转结余的一般公共预算收入0万元，占0%；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上年结转结余的政府性基金预算收入0万元，占0%；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上年结转结余的国有资本经营预算收入0万元，占0%；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上年结转结余的财政专户管理资金0万元，占0%；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上年结转结余的单位资金0万元，占0%。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昆山市花桥镇横漕社区居民委员会2023年支出预算合计390.68万元，其中：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基本支出272.43万元，占69.73%；</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项目支出118.25万元，占30.27%；</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事业单位经营支出0万元，占0%；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上缴上级支出0万元，占0%；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对附属单位补助支出0万元，占0%。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2"/>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四、财政拨款收支预算总体情况说明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度财政拨款收、支总预算390.68万元。与上年相比，财政拨款收、支总计各增加75.6万元，增长23.99%。主要原因是2022年部分项目预算由社区政经分开支付，2023年预算全部由财政拨款。</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财政拨款预算支出390.68万元，占本年支出合计的100%。与上年相比，财政拨款支出增加75.6万元，增长23.99%。主要原因是2022年部分项目预算由社区政经分开支付，2023年预算全部由财政拨款。</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（一）城乡社区支出（类）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城乡社区管理事务（款）其他城乡社区管理事务支出（项）支出390.68万元，与上年相比增加75.6万元，增长23.99%。主要原因是2022年部分项目预算由社区政经分开支付，2023年预算全部由财政拨款。</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昆山市花桥镇横漕社区居民委员会2023年度财政拨款基本支出预算272.43万元，其中：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（一）人员经费249.23万元。主要包括：其他工资福利支出、医疗费补助、奖励金、其他对个人和家庭的补助。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（二）公用经费23.2万元。主要包括：办公费、水费、电费、邮电费、差旅费、维修（护）费、工会经费、其他商品和服务支出、办公设备购置。</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昆山市花桥镇横漕社区居民委员会2023年一般公共预算财政拨款支出预算390.68万元，与上年相比增加75.6万元，增长23.99%。主要原因是2022年部分项目预算由社区政经分开支付，2023年预算全部由财政拨款。</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昆山市花桥镇横漕社区居民委员会2023年度一般公共预算财政拨款基本支出预算272.43万元，其中：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（一）人员经费249.23万元。主要包括：其他工资福利支出、医疗费补助、奖励金、其他对个人和家庭的补助。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（二）公用经费23.2万元。主要包括：办公费、水费、电费、邮电费、差旅费、维修（护）费、工会经费、其他商品和服务支出、办公设备购置。</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九、一般公共预算“三公”经费、会议费、培训费支出预算情况说明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度一般公共预算拨款安排的“三公”经费预算支出中，因公出国（境）费支出0万元，占“三公”经费的0%；公务用车购置及运行维护费支出0万元，占“三公”经费的0%；公务接待费支出0万元，占“三公”经费的0%。具体情况如下：</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2．公务用车购置及运行维护费预算支出0万元。其中：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昆山市花桥镇横漕社区居民委员会2023年度一般公共预算拨款安排的会议费预算支出0万元，与上年预算数相同。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昆山市花桥镇横漕社区居民委员会2023年度一般公共预算拨款安排的培训费预算支出0万元，与上年预算数相同。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昆山市花桥镇横漕社区居民委员会2023年政府性基金支出预算支出0万元。与上年预算数相同。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昆山市花桥镇横漕社区居民委员会2023年国有资本经营预算支出0万元。与上年预算数相同。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十二、一般公共预算机关运行经费支出预算情况说明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2023年本单位一般公共预算机关运行经费预算支出0万元。与上年预算数相同。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十三、政府采购支出预算情况说明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2023年度政府采购支出预算总额0万元，其中：拟采购货物支出0万元、拟采购工程支出0万元、拟采购服务支出0万元。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共有车辆0辆，其中，副部（省）级及以上领导用车0辆、主要领导干部用车0辆、机要通信用车0辆、应急保障用车0辆、执法执勤用车0辆、特种专业技术用车0辆、离退休干部用车0辆，其他用车0辆；单价50万元（含）以上的通用设备0台（套），单价100万元（含）以上的专用设备0台（套）。</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十五、预算绩效目标设置情况说明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2023年度，本单位整体支出未纳入绩效目标管理，涉及财政性资金0万元；本单位共7个项目纳入绩效目标管理，涉及财政性资金合计118.25万元，占财政性资金(基本支出除外)总额的比例为100%。</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w:t>
      </w:r>
      <w:r>
        <w:rPr>
          <w:rFonts w:ascii="仿宋" w:hAnsi="仿宋" w:eastAsia="仿宋" w:cs="仿宋"/>
          <w:b/>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二、财政专户管理资金</w:t>
      </w:r>
      <w:r>
        <w:rPr>
          <w:rFonts w:ascii="仿宋" w:hAnsi="仿宋" w:eastAsia="仿宋" w:cs="仿宋"/>
          <w:b/>
        </w:rPr>
        <w:t>：</w:t>
      </w:r>
      <w:r>
        <w:rPr>
          <w:rFonts w:hint="eastAsia" w:ascii="仿宋" w:hAnsi="仿宋" w:eastAsia="仿宋" w:cs="仿宋"/>
        </w:rPr>
        <w:t>缴入财政专户、实行专项管理的各项费用。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三、单位资金</w:t>
      </w:r>
      <w:r>
        <w:rPr>
          <w:rFonts w:ascii="仿宋" w:hAnsi="仿宋" w:eastAsia="仿宋" w:cs="仿宋"/>
          <w:b/>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四、基本支出</w:t>
      </w:r>
      <w:r>
        <w:rPr>
          <w:rFonts w:ascii="仿宋" w:hAnsi="仿宋" w:eastAsia="仿宋" w:cs="仿宋"/>
          <w:b/>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五、项目支出</w:t>
      </w:r>
      <w:r>
        <w:rPr>
          <w:rFonts w:ascii="仿宋" w:hAnsi="仿宋" w:eastAsia="仿宋" w:cs="仿宋"/>
          <w:b/>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六、“三公”经费</w:t>
      </w:r>
      <w:r>
        <w:rPr>
          <w:rFonts w:ascii="仿宋" w:hAnsi="仿宋" w:eastAsia="仿宋" w:cs="仿宋"/>
          <w:b/>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七、机关运行经费</w:t>
      </w:r>
      <w:r>
        <w:rPr>
          <w:rFonts w:ascii="仿宋" w:hAnsi="仿宋" w:eastAsia="仿宋" w:cs="仿宋"/>
          <w:b/>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八、城乡社区支出(类)城乡社区管理事务(款)其他城乡社区管理事务支出(项)</w:t>
      </w:r>
      <w:r>
        <w:rPr>
          <w:rFonts w:ascii="仿宋" w:hAnsi="仿宋" w:eastAsia="仿宋" w:cs="仿宋"/>
          <w:b/>
        </w:rPr>
        <w:t>：</w:t>
      </w:r>
      <w:r>
        <w:rPr>
          <w:rFonts w:hint="eastAsia" w:ascii="仿宋" w:hAnsi="仿宋" w:eastAsia="仿宋" w:cs="仿宋"/>
        </w:rPr>
        <w:t>反映除上述项目以外其他用于城乡社区管理事务方面的支出。</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rPr>
      <w:t>昆山市花桥镇横漕社区居民委员会</w:t>
    </w:r>
    <w:r>
      <w:t>2023年度部门预算公开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YzMyYjZjMmM2MTU3M2YwMzEzNGYzZWEwOTNkMmJlMWMifQ=="/>
  </w:docVars>
  <w:rsids>
    <w:rsidRoot w:val="00000000"/>
    <w:rsid w:val="00064984"/>
    <w:rsid w:val="00071288"/>
    <w:rsid w:val="00071789"/>
    <w:rsid w:val="000F12AB"/>
    <w:rsid w:val="001C31F9"/>
    <w:rsid w:val="00407CA7"/>
    <w:rsid w:val="00413AD8"/>
    <w:rsid w:val="004460AE"/>
    <w:rsid w:val="005F037B"/>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13846"/>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85546"/>
    <w:rsid w:val="052126A9"/>
    <w:rsid w:val="0524518E"/>
    <w:rsid w:val="05247FC3"/>
    <w:rsid w:val="05346113"/>
    <w:rsid w:val="05423E9C"/>
    <w:rsid w:val="05600A24"/>
    <w:rsid w:val="057525F6"/>
    <w:rsid w:val="057D4E99"/>
    <w:rsid w:val="05843580"/>
    <w:rsid w:val="058A7C48"/>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931509"/>
    <w:rsid w:val="08A333FC"/>
    <w:rsid w:val="08B16290"/>
    <w:rsid w:val="08BD1AAD"/>
    <w:rsid w:val="08D342E7"/>
    <w:rsid w:val="08E134F8"/>
    <w:rsid w:val="08FC0605"/>
    <w:rsid w:val="08FE52B0"/>
    <w:rsid w:val="090F5FB7"/>
    <w:rsid w:val="09165D85"/>
    <w:rsid w:val="092660BA"/>
    <w:rsid w:val="0932487E"/>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6747AF"/>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C6242A"/>
    <w:rsid w:val="0DD06A00"/>
    <w:rsid w:val="0DE15F97"/>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405BCB"/>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1037A82"/>
    <w:rsid w:val="1106739D"/>
    <w:rsid w:val="11082369"/>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290F74"/>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61AB0"/>
    <w:rsid w:val="167F1A6B"/>
    <w:rsid w:val="16971C37"/>
    <w:rsid w:val="16BC7A59"/>
    <w:rsid w:val="16BE14E7"/>
    <w:rsid w:val="16BE34FA"/>
    <w:rsid w:val="16E22E32"/>
    <w:rsid w:val="16ED632E"/>
    <w:rsid w:val="170E72F7"/>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936F0"/>
    <w:rsid w:val="1D0E4D1B"/>
    <w:rsid w:val="1D0F64B4"/>
    <w:rsid w:val="1D103F06"/>
    <w:rsid w:val="1D201166"/>
    <w:rsid w:val="1D3214B5"/>
    <w:rsid w:val="1D383DB3"/>
    <w:rsid w:val="1D387361"/>
    <w:rsid w:val="1D387D1B"/>
    <w:rsid w:val="1D552DD9"/>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D2622D"/>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37CF"/>
    <w:rsid w:val="1F724421"/>
    <w:rsid w:val="1F8122F8"/>
    <w:rsid w:val="1F8B39C7"/>
    <w:rsid w:val="1F8C1569"/>
    <w:rsid w:val="1FA17CC2"/>
    <w:rsid w:val="1FB1012B"/>
    <w:rsid w:val="1FD5645B"/>
    <w:rsid w:val="1FD866E0"/>
    <w:rsid w:val="1FE16BA6"/>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650D4A"/>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C56A83"/>
    <w:rsid w:val="23CC14AA"/>
    <w:rsid w:val="23D87A5D"/>
    <w:rsid w:val="23F81D1C"/>
    <w:rsid w:val="23F87AE8"/>
    <w:rsid w:val="24004EF0"/>
    <w:rsid w:val="241C168B"/>
    <w:rsid w:val="242403FF"/>
    <w:rsid w:val="242B2707"/>
    <w:rsid w:val="24361C71"/>
    <w:rsid w:val="2443382C"/>
    <w:rsid w:val="244706D0"/>
    <w:rsid w:val="244E4876"/>
    <w:rsid w:val="2455798C"/>
    <w:rsid w:val="246E4FE1"/>
    <w:rsid w:val="247771B1"/>
    <w:rsid w:val="24797436"/>
    <w:rsid w:val="24893698"/>
    <w:rsid w:val="248A0DA1"/>
    <w:rsid w:val="248B0DC9"/>
    <w:rsid w:val="24EF440E"/>
    <w:rsid w:val="25175618"/>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36C3A"/>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269B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660CEE"/>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75736"/>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9B06AC"/>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0C25"/>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66FAD"/>
    <w:rsid w:val="35976ED7"/>
    <w:rsid w:val="35980087"/>
    <w:rsid w:val="35B3142E"/>
    <w:rsid w:val="35B45E55"/>
    <w:rsid w:val="35B543C3"/>
    <w:rsid w:val="35B84DAB"/>
    <w:rsid w:val="35C52894"/>
    <w:rsid w:val="35E92FD2"/>
    <w:rsid w:val="35EA0FD5"/>
    <w:rsid w:val="35F036ED"/>
    <w:rsid w:val="35F11C61"/>
    <w:rsid w:val="35F50D12"/>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A04C6E"/>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55B41"/>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986F03"/>
    <w:rsid w:val="3AB03D58"/>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4C3E35"/>
    <w:rsid w:val="3E535C24"/>
    <w:rsid w:val="3E570308"/>
    <w:rsid w:val="3E600BB4"/>
    <w:rsid w:val="3E8A2129"/>
    <w:rsid w:val="3E8C3990"/>
    <w:rsid w:val="3E917B3F"/>
    <w:rsid w:val="3EB37670"/>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2D2B6A"/>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F047E0"/>
    <w:rsid w:val="43FD6F00"/>
    <w:rsid w:val="440B02B4"/>
    <w:rsid w:val="44123DA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42A3E"/>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5E4F5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52F0C"/>
    <w:rsid w:val="4E0911A0"/>
    <w:rsid w:val="4E0D72D8"/>
    <w:rsid w:val="4E1F24C4"/>
    <w:rsid w:val="4E2F0959"/>
    <w:rsid w:val="4E383ED6"/>
    <w:rsid w:val="4E5172B9"/>
    <w:rsid w:val="4E560D60"/>
    <w:rsid w:val="4E564593"/>
    <w:rsid w:val="4E5A2684"/>
    <w:rsid w:val="4E66521C"/>
    <w:rsid w:val="4E703F51"/>
    <w:rsid w:val="4E905710"/>
    <w:rsid w:val="4E942C0A"/>
    <w:rsid w:val="4E98220D"/>
    <w:rsid w:val="4EA02FF7"/>
    <w:rsid w:val="4EB7399D"/>
    <w:rsid w:val="4ECD2716"/>
    <w:rsid w:val="4EDA695D"/>
    <w:rsid w:val="4EE05B39"/>
    <w:rsid w:val="4EE54AFA"/>
    <w:rsid w:val="4EE73AF5"/>
    <w:rsid w:val="4EE84EA5"/>
    <w:rsid w:val="4EEE4AF5"/>
    <w:rsid w:val="4EF82E0F"/>
    <w:rsid w:val="4F0B544D"/>
    <w:rsid w:val="4F0E4A13"/>
    <w:rsid w:val="4F1E4B12"/>
    <w:rsid w:val="4F301FB1"/>
    <w:rsid w:val="4F3A2B02"/>
    <w:rsid w:val="4F4F7329"/>
    <w:rsid w:val="4F5260B5"/>
    <w:rsid w:val="4F560168"/>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21CB3"/>
    <w:rsid w:val="50E74C38"/>
    <w:rsid w:val="50E76F7B"/>
    <w:rsid w:val="50EB303A"/>
    <w:rsid w:val="51025571"/>
    <w:rsid w:val="510819A0"/>
    <w:rsid w:val="510C31D4"/>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5837C3"/>
    <w:rsid w:val="5371534A"/>
    <w:rsid w:val="53720C63"/>
    <w:rsid w:val="53760DD8"/>
    <w:rsid w:val="537700D3"/>
    <w:rsid w:val="53811681"/>
    <w:rsid w:val="538A520F"/>
    <w:rsid w:val="538C6CFB"/>
    <w:rsid w:val="53933E3F"/>
    <w:rsid w:val="53A45110"/>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A48F8"/>
    <w:rsid w:val="547F6951"/>
    <w:rsid w:val="54854CE2"/>
    <w:rsid w:val="548965FC"/>
    <w:rsid w:val="549F015A"/>
    <w:rsid w:val="54AD1A5F"/>
    <w:rsid w:val="54AF4755"/>
    <w:rsid w:val="54C761C0"/>
    <w:rsid w:val="54D730B0"/>
    <w:rsid w:val="54DD1143"/>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45BC9"/>
    <w:rsid w:val="56CF2CD9"/>
    <w:rsid w:val="56CF2CF8"/>
    <w:rsid w:val="56D50BC3"/>
    <w:rsid w:val="56E34EAC"/>
    <w:rsid w:val="570203D1"/>
    <w:rsid w:val="571159E3"/>
    <w:rsid w:val="571D3ABE"/>
    <w:rsid w:val="571F6B78"/>
    <w:rsid w:val="57477BC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D261A6"/>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564CD"/>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30A1C"/>
    <w:rsid w:val="5DAB4981"/>
    <w:rsid w:val="5DAF2ED6"/>
    <w:rsid w:val="5DCD5EDE"/>
    <w:rsid w:val="5DDD01B0"/>
    <w:rsid w:val="5DE31BF8"/>
    <w:rsid w:val="5DEE4FE1"/>
    <w:rsid w:val="5DEE7E4B"/>
    <w:rsid w:val="5DF434DB"/>
    <w:rsid w:val="5E040F9B"/>
    <w:rsid w:val="5E163DAD"/>
    <w:rsid w:val="5E18199F"/>
    <w:rsid w:val="5E276BBA"/>
    <w:rsid w:val="5E4A3124"/>
    <w:rsid w:val="5E4A34BA"/>
    <w:rsid w:val="5E525F9E"/>
    <w:rsid w:val="5E555E36"/>
    <w:rsid w:val="5E572B7B"/>
    <w:rsid w:val="5E715DE0"/>
    <w:rsid w:val="5E817F26"/>
    <w:rsid w:val="5E993BCD"/>
    <w:rsid w:val="5EA248D0"/>
    <w:rsid w:val="5EC875D4"/>
    <w:rsid w:val="5ED929BD"/>
    <w:rsid w:val="5EDD61AF"/>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B4C28"/>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3FA6EBC"/>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CD22CB"/>
    <w:rsid w:val="64D17A33"/>
    <w:rsid w:val="64DB0DE6"/>
    <w:rsid w:val="65192F42"/>
    <w:rsid w:val="651C413F"/>
    <w:rsid w:val="651F176C"/>
    <w:rsid w:val="652354FE"/>
    <w:rsid w:val="65243799"/>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A57E71"/>
    <w:rsid w:val="66A76320"/>
    <w:rsid w:val="66BD4460"/>
    <w:rsid w:val="66BD4681"/>
    <w:rsid w:val="66D37DBF"/>
    <w:rsid w:val="66D47A94"/>
    <w:rsid w:val="66D82ABA"/>
    <w:rsid w:val="66E4759D"/>
    <w:rsid w:val="66E75B92"/>
    <w:rsid w:val="67080774"/>
    <w:rsid w:val="67126F49"/>
    <w:rsid w:val="67195D19"/>
    <w:rsid w:val="672361E3"/>
    <w:rsid w:val="673212A8"/>
    <w:rsid w:val="67485617"/>
    <w:rsid w:val="674B4F4A"/>
    <w:rsid w:val="67586F6C"/>
    <w:rsid w:val="67625F8A"/>
    <w:rsid w:val="676A3DA6"/>
    <w:rsid w:val="67773A51"/>
    <w:rsid w:val="67835FB2"/>
    <w:rsid w:val="679805D8"/>
    <w:rsid w:val="67A46064"/>
    <w:rsid w:val="67A46EF4"/>
    <w:rsid w:val="67B16006"/>
    <w:rsid w:val="67BA07B7"/>
    <w:rsid w:val="67BC3FEE"/>
    <w:rsid w:val="67C77CC2"/>
    <w:rsid w:val="67CA7544"/>
    <w:rsid w:val="67CF598F"/>
    <w:rsid w:val="67D477F8"/>
    <w:rsid w:val="67DA1F38"/>
    <w:rsid w:val="67E118CD"/>
    <w:rsid w:val="67FF7C3A"/>
    <w:rsid w:val="68052609"/>
    <w:rsid w:val="681E1B1C"/>
    <w:rsid w:val="6829477F"/>
    <w:rsid w:val="682A1883"/>
    <w:rsid w:val="682F4FA9"/>
    <w:rsid w:val="68323C50"/>
    <w:rsid w:val="686332F5"/>
    <w:rsid w:val="68646588"/>
    <w:rsid w:val="68743ACA"/>
    <w:rsid w:val="687E7334"/>
    <w:rsid w:val="688232C2"/>
    <w:rsid w:val="68843A78"/>
    <w:rsid w:val="6892155A"/>
    <w:rsid w:val="689F0599"/>
    <w:rsid w:val="68B43376"/>
    <w:rsid w:val="68EE3897"/>
    <w:rsid w:val="68F053F6"/>
    <w:rsid w:val="68F43A1E"/>
    <w:rsid w:val="69017C6D"/>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95A80"/>
    <w:rsid w:val="6F7E2770"/>
    <w:rsid w:val="6F8776A7"/>
    <w:rsid w:val="6F957D21"/>
    <w:rsid w:val="6F9A1B5B"/>
    <w:rsid w:val="6FA57C2A"/>
    <w:rsid w:val="6FC22E70"/>
    <w:rsid w:val="6FD175F7"/>
    <w:rsid w:val="6FD95378"/>
    <w:rsid w:val="6FF47B92"/>
    <w:rsid w:val="6FFD1488"/>
    <w:rsid w:val="70027824"/>
    <w:rsid w:val="700B44C9"/>
    <w:rsid w:val="70173431"/>
    <w:rsid w:val="703C1CAA"/>
    <w:rsid w:val="703E1108"/>
    <w:rsid w:val="70460ECD"/>
    <w:rsid w:val="704B7EBD"/>
    <w:rsid w:val="7051053C"/>
    <w:rsid w:val="707F7FC1"/>
    <w:rsid w:val="70830694"/>
    <w:rsid w:val="7092075C"/>
    <w:rsid w:val="70A16710"/>
    <w:rsid w:val="70AF49AD"/>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56131D"/>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0E161B"/>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306EF8"/>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83576"/>
    <w:rsid w:val="7D9B3D45"/>
    <w:rsid w:val="7D9C553A"/>
    <w:rsid w:val="7DBB346B"/>
    <w:rsid w:val="7DD0508B"/>
    <w:rsid w:val="7DE4119D"/>
    <w:rsid w:val="7DEE5B58"/>
    <w:rsid w:val="7DEF4E30"/>
    <w:rsid w:val="7E0B1390"/>
    <w:rsid w:val="7E2B13AE"/>
    <w:rsid w:val="7E676A56"/>
    <w:rsid w:val="7E690FF4"/>
    <w:rsid w:val="7E947A7E"/>
    <w:rsid w:val="7EA36676"/>
    <w:rsid w:val="7ED03245"/>
    <w:rsid w:val="7ED25E9B"/>
    <w:rsid w:val="7ED37D6E"/>
    <w:rsid w:val="7F0A2251"/>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1913</Words>
  <Characters>6541</Characters>
  <Paragraphs>501</Paragraphs>
  <TotalTime>0</TotalTime>
  <ScaleCrop>false</ScaleCrop>
  <LinksUpToDate>false</LinksUpToDate>
  <CharactersWithSpaces>6558</CharactersWithSpaces>
  <Application>WPS Office_11.1.0.11372_F1E327BC-269C-435d-A152-05C5408002CA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LFL</cp:lastModifiedBy>
  <dcterms:modified xsi:type="dcterms:W3CDTF">2026-10-23T07:28:08Z</dcterms:modified>
  <dc:title>部门预算公开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2052-11.1.0.11372</vt:lpwstr>
  </property>
  <property fmtid="{D5CDD505-2E9C-101B-9397-08002B2CF9AE}" pid="6" name="LastSaved">
    <vt:filetime>2021-04-15T00:00:00Z</vt:filetime>
  </property>
</Properties>
</file>