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b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sz w:val="28"/>
          <w:szCs w:val="28"/>
          <w:lang w:val="en-US" w:eastAsia="zh-CN"/>
        </w:rPr>
        <w:t>附件五：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6955155" cy="5219700"/>
            <wp:effectExtent l="0" t="0" r="0" b="1714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955155" cy="5219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7156450" cy="5361305"/>
            <wp:effectExtent l="0" t="0" r="10795" b="6350"/>
            <wp:docPr id="6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156450" cy="53613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111115" cy="3835400"/>
            <wp:effectExtent l="0" t="0" r="13335" b="12700"/>
            <wp:docPr id="7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11115" cy="3835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069840" cy="3804920"/>
            <wp:effectExtent l="0" t="0" r="16510" b="5080"/>
            <wp:docPr id="8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4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69840" cy="38049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944208"/>
    <w:rsid w:val="1B37657F"/>
    <w:rsid w:val="395C5711"/>
    <w:rsid w:val="41106470"/>
    <w:rsid w:val="4CAA0C9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2017-10-26T00:51:00Z</cp:lastPrinted>
  <dcterms:modified xsi:type="dcterms:W3CDTF">2017-10-27T01:05:44Z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