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A319C">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0" w:firstLineChars="0"/>
        <w:jc w:val="both"/>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附件2</w:t>
      </w:r>
    </w:p>
    <w:p w14:paraId="50217119">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0" w:firstLineChars="0"/>
        <w:jc w:val="both"/>
        <w:textAlignment w:val="auto"/>
        <w:rPr>
          <w:rFonts w:hint="default" w:ascii="Times New Roman" w:hAnsi="Times New Roman" w:eastAsia="仿宋_GB2312" w:cs="Times New Roman"/>
          <w:sz w:val="32"/>
          <w:szCs w:val="32"/>
          <w:lang w:val="en-US" w:eastAsia="zh-CN"/>
        </w:rPr>
      </w:pPr>
    </w:p>
    <w:p w14:paraId="63D49F83">
      <w:pPr>
        <w:pStyle w:val="6"/>
        <w:keepNext w:val="0"/>
        <w:keepLines w:val="0"/>
        <w:pageBreakBefore w:val="0"/>
        <w:widowControl w:val="0"/>
        <w:kinsoku/>
        <w:wordWrap/>
        <w:overflowPunct/>
        <w:topLinePunct w:val="0"/>
        <w:autoSpaceDE/>
        <w:autoSpaceDN/>
        <w:bidi w:val="0"/>
        <w:adjustRightInd w:val="0"/>
        <w:snapToGrid w:val="0"/>
        <w:spacing w:after="0"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2026</w:t>
      </w:r>
      <w:r>
        <w:rPr>
          <w:rFonts w:hint="eastAsia" w:ascii="方正小标宋简体" w:hAnsi="方正小标宋简体" w:eastAsia="方正小标宋简体" w:cs="方正小标宋简体"/>
          <w:sz w:val="44"/>
          <w:szCs w:val="44"/>
        </w:rPr>
        <w:t>年昆山市重点研发计划</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社会发展</w:t>
      </w:r>
      <w:r>
        <w:rPr>
          <w:rFonts w:hint="eastAsia" w:ascii="方正小标宋简体" w:hAnsi="方正小标宋简体" w:eastAsia="方正小标宋简体" w:cs="方正小标宋简体"/>
          <w:sz w:val="44"/>
          <w:szCs w:val="44"/>
          <w:lang w:eastAsia="zh-CN"/>
        </w:rPr>
        <w:t>）</w:t>
      </w:r>
    </w:p>
    <w:p w14:paraId="1BC1C906">
      <w:pPr>
        <w:pStyle w:val="6"/>
        <w:keepNext w:val="0"/>
        <w:keepLines w:val="0"/>
        <w:pageBreakBefore w:val="0"/>
        <w:widowControl w:val="0"/>
        <w:kinsoku/>
        <w:wordWrap/>
        <w:overflowPunct/>
        <w:topLinePunct w:val="0"/>
        <w:autoSpaceDE/>
        <w:autoSpaceDN/>
        <w:bidi w:val="0"/>
        <w:adjustRightInd w:val="0"/>
        <w:snapToGrid w:val="0"/>
        <w:spacing w:after="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项目立项清单</w:t>
      </w:r>
    </w:p>
    <w:tbl>
      <w:tblPr>
        <w:tblStyle w:val="7"/>
        <w:tblW w:w="97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51" w:type="dxa"/>
          <w:bottom w:w="0" w:type="dxa"/>
          <w:right w:w="51" w:type="dxa"/>
        </w:tblCellMar>
      </w:tblPr>
      <w:tblGrid>
        <w:gridCol w:w="1080"/>
        <w:gridCol w:w="3970"/>
        <w:gridCol w:w="1617"/>
        <w:gridCol w:w="950"/>
        <w:gridCol w:w="949"/>
        <w:gridCol w:w="1150"/>
      </w:tblGrid>
      <w:tr w14:paraId="60ED0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cantSplit/>
          <w:trHeight w:val="760" w:hRule="atLeast"/>
          <w:tblHeader/>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504735E">
            <w:pPr>
              <w:keepNext w:val="0"/>
              <w:keepLines w:val="0"/>
              <w:widowControl/>
              <w:suppressLineNumbers w:val="0"/>
              <w:jc w:val="center"/>
              <w:textAlignment w:val="center"/>
              <w:rPr>
                <w:rStyle w:val="9"/>
                <w:rFonts w:hint="default" w:ascii="Times New Roman" w:hAnsi="Times New Roman" w:eastAsia="仿宋_GB2312" w:cs="Times New Roman"/>
                <w:lang w:val="en-US" w:eastAsia="zh-CN" w:bidi="ar"/>
              </w:rPr>
            </w:pPr>
            <w:r>
              <w:rPr>
                <w:rStyle w:val="9"/>
                <w:rFonts w:hint="default" w:ascii="Times New Roman" w:hAnsi="Times New Roman" w:eastAsia="仿宋_GB2312" w:cs="Times New Roman"/>
                <w:lang w:val="en-US" w:eastAsia="zh-CN" w:bidi="ar"/>
              </w:rPr>
              <w:t>立项编号</w:t>
            </w:r>
          </w:p>
        </w:tc>
        <w:tc>
          <w:tcPr>
            <w:tcW w:w="397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A61B532">
            <w:pPr>
              <w:keepNext w:val="0"/>
              <w:keepLines w:val="0"/>
              <w:widowControl/>
              <w:suppressLineNumbers w:val="0"/>
              <w:jc w:val="center"/>
              <w:textAlignment w:val="center"/>
              <w:rPr>
                <w:rStyle w:val="9"/>
                <w:rFonts w:hint="default" w:ascii="Times New Roman" w:hAnsi="Times New Roman" w:eastAsia="仿宋_GB2312" w:cs="Times New Roman"/>
                <w:lang w:val="en-US" w:eastAsia="zh-CN" w:bidi="ar"/>
              </w:rPr>
            </w:pPr>
            <w:r>
              <w:rPr>
                <w:rStyle w:val="9"/>
                <w:rFonts w:hint="default" w:ascii="Times New Roman" w:hAnsi="Times New Roman" w:eastAsia="仿宋_GB2312" w:cs="Times New Roman"/>
                <w:lang w:val="en-US" w:eastAsia="zh-CN" w:bidi="ar"/>
              </w:rPr>
              <w:t>项目名称</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1BF6105">
            <w:pPr>
              <w:keepNext w:val="0"/>
              <w:keepLines w:val="0"/>
              <w:widowControl/>
              <w:suppressLineNumbers w:val="0"/>
              <w:jc w:val="center"/>
              <w:textAlignment w:val="center"/>
              <w:rPr>
                <w:rStyle w:val="9"/>
                <w:rFonts w:hint="default" w:ascii="Times New Roman" w:hAnsi="Times New Roman" w:eastAsia="仿宋_GB2312" w:cs="Times New Roman"/>
                <w:lang w:val="en-US" w:eastAsia="zh-CN" w:bidi="ar"/>
              </w:rPr>
            </w:pPr>
            <w:r>
              <w:rPr>
                <w:rStyle w:val="9"/>
                <w:rFonts w:hint="default" w:ascii="Times New Roman" w:hAnsi="Times New Roman" w:eastAsia="仿宋_GB2312" w:cs="Times New Roman"/>
                <w:lang w:val="en-US" w:eastAsia="zh-CN" w:bidi="ar"/>
              </w:rPr>
              <w:t>单位名称</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7F11D2B">
            <w:pPr>
              <w:keepNext w:val="0"/>
              <w:keepLines w:val="0"/>
              <w:widowControl/>
              <w:suppressLineNumbers w:val="0"/>
              <w:jc w:val="center"/>
              <w:textAlignment w:val="center"/>
              <w:rPr>
                <w:rStyle w:val="9"/>
                <w:rFonts w:hint="default" w:ascii="Times New Roman" w:hAnsi="Times New Roman" w:eastAsia="仿宋_GB2312" w:cs="Times New Roman"/>
                <w:lang w:val="en-US" w:eastAsia="zh-CN" w:bidi="ar"/>
              </w:rPr>
            </w:pPr>
            <w:r>
              <w:rPr>
                <w:rStyle w:val="9"/>
                <w:rFonts w:hint="default" w:ascii="Times New Roman" w:hAnsi="Times New Roman" w:eastAsia="仿宋_GB2312" w:cs="Times New Roman"/>
                <w:lang w:val="en-US" w:eastAsia="zh-CN" w:bidi="ar"/>
              </w:rPr>
              <w:t>区镇</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3987FA3">
            <w:pPr>
              <w:widowControl/>
              <w:jc w:val="center"/>
              <w:textAlignment w:val="center"/>
              <w:rPr>
                <w:rFonts w:hint="default" w:ascii="Times New Roman" w:hAnsi="Times New Roman" w:eastAsia="仿宋_GB2312" w:cs="Times New Roman"/>
                <w:b/>
                <w:bCs/>
                <w:color w:val="000000"/>
                <w:kern w:val="0"/>
                <w:sz w:val="21"/>
                <w:szCs w:val="21"/>
                <w:lang w:val="en-US" w:eastAsia="zh-CN"/>
              </w:rPr>
            </w:pPr>
            <w:r>
              <w:rPr>
                <w:rFonts w:hint="default" w:ascii="Times New Roman" w:hAnsi="Times New Roman" w:eastAsia="仿宋_GB2312" w:cs="Times New Roman"/>
                <w:b/>
                <w:bCs/>
                <w:color w:val="000000"/>
                <w:kern w:val="0"/>
                <w:sz w:val="21"/>
                <w:szCs w:val="21"/>
                <w:lang w:val="en-US" w:eastAsia="zh-CN"/>
              </w:rPr>
              <w:t>资助金额</w:t>
            </w:r>
          </w:p>
          <w:p w14:paraId="5AFADB1A">
            <w:pPr>
              <w:widowControl/>
              <w:jc w:val="center"/>
              <w:textAlignment w:val="center"/>
              <w:rPr>
                <w:rFonts w:hint="default" w:ascii="Times New Roman" w:hAnsi="Times New Roman" w:eastAsia="仿宋_GB2312" w:cs="Times New Roman"/>
                <w:b/>
                <w:bCs/>
                <w:color w:val="000000"/>
                <w:kern w:val="0"/>
                <w:sz w:val="21"/>
                <w:szCs w:val="21"/>
                <w:lang w:val="en-US" w:eastAsia="zh-CN"/>
              </w:rPr>
            </w:pPr>
            <w:r>
              <w:rPr>
                <w:rFonts w:hint="default" w:ascii="Times New Roman" w:hAnsi="Times New Roman" w:eastAsia="仿宋_GB2312" w:cs="Times New Roman"/>
                <w:b/>
                <w:bCs/>
                <w:color w:val="000000"/>
                <w:kern w:val="0"/>
                <w:sz w:val="21"/>
                <w:szCs w:val="21"/>
                <w:lang w:val="en-US" w:eastAsia="zh-CN"/>
              </w:rPr>
              <w:t>（万元）</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5F166EC">
            <w:pPr>
              <w:widowControl/>
              <w:jc w:val="center"/>
              <w:textAlignment w:val="center"/>
              <w:rPr>
                <w:rFonts w:hint="default" w:ascii="Times New Roman" w:hAnsi="Times New Roman" w:eastAsia="仿宋_GB2312" w:cs="Times New Roman"/>
                <w:b/>
                <w:bCs/>
                <w:color w:val="000000"/>
                <w:kern w:val="0"/>
                <w:sz w:val="21"/>
                <w:szCs w:val="21"/>
                <w:lang w:val="en-US" w:eastAsia="zh-CN"/>
              </w:rPr>
            </w:pPr>
            <w:r>
              <w:rPr>
                <w:rFonts w:hint="default" w:ascii="Times New Roman" w:hAnsi="Times New Roman" w:eastAsia="仿宋_GB2312" w:cs="Times New Roman"/>
                <w:b/>
                <w:bCs/>
                <w:color w:val="000000"/>
                <w:kern w:val="0"/>
                <w:sz w:val="21"/>
                <w:szCs w:val="21"/>
                <w:lang w:val="en-US" w:eastAsia="zh-CN"/>
              </w:rPr>
              <w:t>当年度拨付</w:t>
            </w:r>
          </w:p>
          <w:p w14:paraId="49B12151">
            <w:pPr>
              <w:widowControl/>
              <w:jc w:val="center"/>
              <w:textAlignment w:val="center"/>
              <w:rPr>
                <w:rFonts w:hint="default" w:ascii="Times New Roman" w:hAnsi="Times New Roman" w:eastAsia="仿宋_GB2312" w:cs="Times New Roman"/>
                <w:b/>
                <w:bCs/>
                <w:color w:val="000000"/>
                <w:kern w:val="0"/>
                <w:sz w:val="21"/>
                <w:szCs w:val="21"/>
                <w:lang w:val="en-US" w:eastAsia="zh-CN"/>
              </w:rPr>
            </w:pPr>
            <w:r>
              <w:rPr>
                <w:rFonts w:hint="default" w:ascii="Times New Roman" w:hAnsi="Times New Roman" w:eastAsia="仿宋_GB2312" w:cs="Times New Roman"/>
                <w:b/>
                <w:bCs/>
                <w:color w:val="000000"/>
                <w:kern w:val="0"/>
                <w:sz w:val="21"/>
                <w:szCs w:val="21"/>
                <w:lang w:val="en-US" w:eastAsia="zh-CN"/>
              </w:rPr>
              <w:t>（万元）</w:t>
            </w:r>
          </w:p>
        </w:tc>
      </w:tr>
      <w:tr w14:paraId="4773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866"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D54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KS2601</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A04C">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USP47通过去泛素化调控ADGRG6内体分选促进胰腺癌进展的机制研究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B393">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2DF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71E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AA2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97D1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73B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KS2602</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F89F">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漆黄素基于 SUCNR1</w:t>
            </w:r>
            <w:r>
              <w:rPr>
                <w:rFonts w:hint="default" w:ascii="Times New Roman" w:hAnsi="Times New Roman" w:eastAsia="仿宋_GB2312" w:cs="Times New Roman"/>
                <w:i w:val="0"/>
                <w:iCs w:val="0"/>
                <w:color w:val="000000"/>
                <w:kern w:val="0"/>
                <w:sz w:val="24"/>
                <w:szCs w:val="24"/>
                <w:u w:val="none"/>
                <w:lang w:val="en-US" w:eastAsia="zh-CN" w:bidi="ar"/>
              </w:rPr>
              <w:noBreakHyphen/>
            </w:r>
            <w:r>
              <w:rPr>
                <w:rFonts w:hint="default" w:ascii="Times New Roman" w:hAnsi="Times New Roman" w:eastAsia="仿宋_GB2312" w:cs="Times New Roman"/>
                <w:i w:val="0"/>
                <w:iCs w:val="0"/>
                <w:color w:val="000000"/>
                <w:kern w:val="0"/>
                <w:sz w:val="24"/>
                <w:szCs w:val="24"/>
                <w:u w:val="none"/>
                <w:lang w:val="en-US" w:eastAsia="zh-CN" w:bidi="ar"/>
              </w:rPr>
              <w:t>SIRT3 信号轴干预脓毒症急性肾损伤的中医药基础研究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A41E">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FED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752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B10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96DA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DF54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KS2603</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CD33">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基于术后CT评价的踝关节骨折合并下胫腓联合损伤复位质量、功能预后及风险分层管理研究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E787">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EE9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5A5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738E">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660E2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2A5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KS2604</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F42B">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基于FITT-VP运动处方框架的早期运动干预对重症肺炎合并肌少症患者骨骼肌功能及临床结局的影响</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0D6C">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69A1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E62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99E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3B0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C3B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KS2605</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AF00">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人内源性逆转录病毒包膜蛋白通过调控EGR3参与精神分裂症的分子机制研究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A39D">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341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296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B1A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5E488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B02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KS2606</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0454">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多模态3D打印技术引导神经内镜精准治疗丘脑出血破入脑室的临床应用与疗效评价</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B202">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8B8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8AD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E8C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74CD8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96F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KS2607</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09E4">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DHCR7通过调控胆固醇代谢激活Hedgehog通路在急性髓细胞白血病进展中的分子机制研究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3E32">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4D6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5C4E">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8D6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67D05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BDD0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KS2608</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141A">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基于机器学习筛选的</w:t>
            </w:r>
            <w:r>
              <w:rPr>
                <w:rFonts w:hint="default" w:ascii="Times New Roman" w:hAnsi="Times New Roman" w:eastAsia="仿宋_GB2312" w:cs="Times New Roman"/>
                <w:i w:val="0"/>
                <w:iCs w:val="0"/>
                <w:color w:val="000000"/>
                <w:spacing w:val="-20"/>
                <w:w w:val="90"/>
                <w:kern w:val="0"/>
                <w:sz w:val="24"/>
                <w:szCs w:val="24"/>
                <w:u w:val="none"/>
                <w:lang w:val="en-US" w:eastAsia="zh-CN" w:bidi="ar"/>
              </w:rPr>
              <w:t>Mitoxyperilysis</w:t>
            </w:r>
            <w:r>
              <w:rPr>
                <w:rFonts w:hint="default" w:ascii="Times New Roman" w:hAnsi="Times New Roman" w:eastAsia="仿宋_GB2312" w:cs="Times New Roman"/>
                <w:i w:val="0"/>
                <w:iCs w:val="0"/>
                <w:color w:val="000000"/>
                <w:kern w:val="0"/>
                <w:sz w:val="24"/>
                <w:szCs w:val="24"/>
                <w:u w:val="none"/>
                <w:lang w:val="en-US" w:eastAsia="zh-CN" w:bidi="ar"/>
              </w:rPr>
              <w:t>相关关键基因在急性胰腺炎严重程度评估及白藜芦醇干预研究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AC6E">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509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26C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440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0A38F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8AD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KS2609</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4BEA">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基于人工智能椎体压缩定量评估的骨质疏松性椎体骨折筛查与DXA骨密度质控研究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B94E">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78A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D08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7D5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7B43B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E684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KS2610</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639E">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姜黄素衍生物DMC-BH调控</w:t>
            </w:r>
            <w:r>
              <w:rPr>
                <w:rFonts w:hint="default" w:ascii="Times New Roman" w:hAnsi="Times New Roman" w:eastAsia="仿宋_GB2312" w:cs="Times New Roman"/>
                <w:i w:val="0"/>
                <w:iCs w:val="0"/>
                <w:color w:val="000000"/>
                <w:spacing w:val="-20"/>
                <w:kern w:val="0"/>
                <w:sz w:val="24"/>
                <w:szCs w:val="24"/>
                <w:u w:val="none"/>
                <w:lang w:val="en-US" w:eastAsia="zh-CN" w:bidi="ar"/>
              </w:rPr>
              <w:t>ITGB8/ZDHHC5</w:t>
            </w:r>
            <w:r>
              <w:rPr>
                <w:rFonts w:hint="default" w:ascii="Times New Roman" w:hAnsi="Times New Roman" w:eastAsia="仿宋_GB2312" w:cs="Times New Roman"/>
                <w:i w:val="0"/>
                <w:iCs w:val="0"/>
                <w:color w:val="000000"/>
                <w:kern w:val="0"/>
                <w:sz w:val="24"/>
                <w:szCs w:val="24"/>
                <w:u w:val="none"/>
                <w:lang w:val="en-US" w:eastAsia="zh-CN" w:bidi="ar"/>
              </w:rPr>
              <w:t>轴介导S-棕榈酰化抑制结直肠癌侵袭转移的机制研究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4782">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195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60F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56F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FA40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E4F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KS2611</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7DF8">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急性胰腺炎并发急性肾损伤的早期预警及中西医疗效比较研究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04D1">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9BB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86C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409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5478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F34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KS2612</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D56B">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积雪草酸治疗脓毒症肠损伤的药效和机制研究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67D6">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A45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EF0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9EE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73D5F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3F9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KS2613</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7605">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魔芋多糖调控阿克曼氏菌-乙酸代谢改善溃疡性结 肠炎的机制研究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8BBF">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67F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9B2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CE2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3A2F8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FDB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KS2614</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6854D">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姜黄素通过UPR通路诱导内质网应激性凋亡抑制肝癌增殖的机制研究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0A9A">
            <w:pPr>
              <w:keepNext w:val="0"/>
              <w:keepLines w:val="0"/>
              <w:widowControl/>
              <w:suppressLineNumbers w:val="0"/>
              <w:jc w:val="left"/>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75E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E28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45E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DB36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DC8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KS2615</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149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超声造影结合微肿瘤PTC药敏检测在指导非肿块型乳腺癌辅助治疗中的应用</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E04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337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9AD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720A">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19DA6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3FB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KS2616</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E56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基于EvBHM分离柱的血浆EVs蛋白质组学在乳腺癌早期诊断与术后监测中的应用</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AA5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8CFC">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26FC">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C14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1BCD1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B49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KS2617</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1C1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阴道微生态异常与高危型HPV 持续感染与转归的相关性研究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54D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8BF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开发区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650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113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4A70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438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KS2618</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1DB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 xml:space="preserve">有氧运动通过调控小胶质细胞源性外泌体PRDX2介导NRF2/GPX4通路缓解阿尔茨海默病神经元铁死亡的机制研究  </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A1F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9C7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5B6A">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A20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5464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B56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KS2619</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6C0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基于β-catenin/TCF-LEF轴探讨CEBPB/STAT3转录复合物在胃癌细胞EMT和干性维持中的作用机制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E47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81D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3D0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E95A">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06E8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AF2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KS2620</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6B3D">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毛细胞特异性启动子驱动的基因治疗实现DFNB9小鼠听觉功能恢复</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5A3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0AA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C56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D7D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38F31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623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KS2621</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133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5'-tRF^GlyGCC靶向OGDHL增强Warburg效应调控肺癌代谢重编程的机制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093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3BC6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73D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3A7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0D428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025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KS2622</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4D8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基于“三焦气化”探析藿朴夏苓汤调控CYP450 COX-2 ALOX5代谢-炎症轴改善代谢相关性脂肪性肝病的分子机制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084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BD2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718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5F4E">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79DC3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74D5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KS2623</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F98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膜胆固醇主动调控的纳米递送系统增强河豚毒素长效局部麻醉作用研究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686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9DA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358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A5C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5682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BE0E">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KS2624</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A27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双参宁心方调节代谢重编程调控巨噬细胞极化改善冠脉微血管疾病的机制研究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472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73D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03A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916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548E8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9AB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KS2625</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23A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吴门邵氏推拿联合针灸治疗轻、中度高血压合并颈椎病患者的临床研究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856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FA2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AD6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392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9DB8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DC7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KS2626</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E57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急性胰腺炎阳明腑实证多模态表型识别及大承气汤精准干预的临床研究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708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昆山市中医医院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C8BE">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18B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1F0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08637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096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KS2627</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8BB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基于深度生成映射图谱揭示多发性骨髓瘤糖基化重塑的克隆演化、免疫逃逸与干预策略</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487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276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高新区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955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20BF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33C7B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939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KS2628</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9E1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玉屏风散调控p38 MAPK/PGC-1α信号轴促进线粒体生物合成改善肺纤维化的机制研究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0EC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41A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花桥</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F68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E13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76110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DC4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KS2629</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03B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“从湿论治”类风湿关节炎：中药通痹方调控 AMPK/SIRT1信号通路介导巨噬细胞M1/M2极化的机制研究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B90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919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花桥</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AF0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385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013D4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99C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KS2630</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A06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 xml:space="preserve">基于‘肠道菌群-草酸代谢’轴探讨通淋排石丸治疗湿热证草酸钙结石的调控机制研究 </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C3B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355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花桥</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87A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022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193BE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3A8E">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KS2631</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658F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宁心复脉汤对QDOT导管射频消融术后心房颤动患者疗效和安全性的临床研究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6F8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624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花桥</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082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DA2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521F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68AA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KS2632</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C84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基于孙伯青临证经验的健脾养心解郁法治疗肝郁脾虚心神失养型不寐病的临床研究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866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0D8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花桥</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7C5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883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36C7E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3AB4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KS2633</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1C0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仙方活命饮通过调控脂质代谢-NF-κB炎症轴促进湿热型大鼠肛瘘术后创面愈合的机制研究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9A0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E38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花桥</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DFD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B82C">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31167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6FA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KS2634</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C8A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UHRF1BP1作为前列腺癌新型风险基因的鉴定与功能机制研究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6B7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AEB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张浦</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A9B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27A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1EE5F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1DB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KS2635</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2AF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乳腺肿瘤多模态超声可解释融合模型与智能辅助诊断方法研究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517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606A">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张浦</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59A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1A4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03024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631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KS2636</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5D7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基于外周血棕榈酸水平的鼻病毒感染相关喘息患儿的哮喘生物标志物筛选及早期预警关键技术研究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ECD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442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张浦</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F33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43E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62282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FF5A">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KS2637</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301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昆山地区青少年扁平足流行病现状与影响因素分析</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FA2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633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张浦</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483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FBCC">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61251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DD80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KS2638</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55E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基于社区体检数据构建的eFI2预测老年人跌倒风险的应用研究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EDC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EFD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周市</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C72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3DB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19AE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4BC4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KS2639</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412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基于动态透视图像匹配技术的踝关节护具设计与验证</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F71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95F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周市</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D87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848F">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6CC43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3C8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KS2640</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178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Barthel指数在卒中康复的最小临床重要差值的关键技术研究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0C0D">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939D">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周市</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62C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D3D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6423B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06F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KS2641</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0A6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基于脑电图的自适应闭环脑机接口训练在脑卒中偏瘫患者中的应用研究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E3D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B80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周市</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A0B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1B4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62C7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999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KS2642</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46F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基于Brunnstrom分期的“中枢-外周-中枢”闭环磁刺激改善脑卒中上肢功能障碍的最佳介入时机研究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837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D87A">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周市</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20D9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9BB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8AC1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1DC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KS2643</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E86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脑卒中FIM最小临床重要差值的多方法评估研究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D12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26D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周市</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AE5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6D1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5FACF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819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KS2644</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558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姑苏限制性站立训练改善脑卒中偏瘫步态障碍的 临床疗效评价与基层推广应用研究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A9D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7961">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陆家</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69E2">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81F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080AF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3EA3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KS2645</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D6D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幽门螺杆菌通过AIFM1/IRF3/BAX复合物诱导巨噬细胞线粒体凋亡机制研究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C9C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850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陆家</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7E1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9987">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34DF0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6A1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KS2646</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377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评估ICS联合INS治疗对支气管哮喘-鼻炎共病患者及上下气道炎症同步调控作用的临床疗效观察</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C39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629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陆家</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CE1C">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499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4A4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B037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KS2647</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958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益元活血针法联合穴位超声波与肌内效贴“辨期 施治”周围性面瘫的多维全程康复方案研究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941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B2B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陆家</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4F15">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071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0E7B7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110E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KS2648</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6A6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慢性阻塞性肺疾病急性加重期外周炎症标志物与预后分层相关性研究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A03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D61C">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陆家</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C0C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9D83">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1315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2DAE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KS2649</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10F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基于转录组学与生信分析的胰腺癌治疗靶点挖掘 及小分子药物筛选研究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992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6DD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千灯</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70D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CC5A">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46FAC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86D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KS2650</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865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GPBAR1-EGFR-MAPK通路在胆汁酸促胃癌中的作用及其机制研究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AB3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04F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千灯</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CC6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843E">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7976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B61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KS2651</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B3B3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基于68Ga标记的EPHA2和PSMA异二聚体分子探针合成及其在前列腺肿瘤模型中的显像验证</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429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6F1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97E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76F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5D084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EEC7">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KS2652</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D7C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幽门螺杆菌相关胃癌中CDK1-FBXO28-MYC信号轴的调控机制及临床转化</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401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D6E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529C">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7049">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15DA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EEA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KS2653</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04B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枸杞多糖对骨质疏松的临床前药效及其现代化应用策略研究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E3B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D28E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E3FB">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E89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283D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EB21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KS2654</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D41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LPL通过调控脂肪代谢促进胰腺癌细胞增殖及侵袭的研究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B9A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711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CE48">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4386">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1D09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195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KS2655</w:t>
            </w:r>
          </w:p>
        </w:tc>
        <w:tc>
          <w:tcPr>
            <w:tcW w:w="3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1A6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昆山市疫苗犹豫影响因素以及干预策略研究</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791D">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昆山市疾病预防控制中心</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6E8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市属</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CC80">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1584">
            <w:pPr>
              <w:keepNext w:val="0"/>
              <w:keepLines w:val="0"/>
              <w:widowControl/>
              <w:suppressLineNumbers w:val="0"/>
              <w:jc w:val="center"/>
              <w:textAlignment w:val="center"/>
              <w:rPr>
                <w:rStyle w:val="10"/>
                <w:rFonts w:hint="default" w:ascii="Times New Roman" w:hAnsi="Times New Roman" w:eastAsia="仿宋_GB2312" w:cs="Times New Roman"/>
                <w:sz w:val="24"/>
                <w:szCs w:val="24"/>
                <w:lang w:val="en-US" w:eastAsia="zh-CN" w:bidi="ar"/>
              </w:rPr>
            </w:pPr>
            <w:r>
              <w:rPr>
                <w:rStyle w:val="10"/>
                <w:rFonts w:hint="default" w:ascii="Times New Roman" w:hAnsi="Times New Roman" w:eastAsia="仿宋_GB2312" w:cs="Times New Roman"/>
                <w:sz w:val="24"/>
                <w:szCs w:val="24"/>
                <w:lang w:val="en-US" w:eastAsia="zh-CN" w:bidi="ar"/>
              </w:rPr>
              <w:t>2</w:t>
            </w:r>
          </w:p>
        </w:tc>
      </w:tr>
      <w:tr w14:paraId="2B202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cantSplit/>
          <w:trHeight w:val="760" w:hRule="atLeast"/>
          <w:jc w:val="center"/>
        </w:trPr>
        <w:tc>
          <w:tcPr>
            <w:tcW w:w="76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8531">
            <w:pPr>
              <w:keepNext w:val="0"/>
              <w:keepLines w:val="0"/>
              <w:widowControl/>
              <w:suppressLineNumbers w:val="0"/>
              <w:jc w:val="center"/>
              <w:textAlignment w:val="center"/>
              <w:rPr>
                <w:rStyle w:val="10"/>
                <w:rFonts w:hint="default" w:ascii="Times New Roman" w:hAnsi="Times New Roman" w:eastAsia="仿宋_GB2312" w:cs="Times New Roman"/>
                <w:b/>
                <w:bCs/>
                <w:sz w:val="22"/>
                <w:szCs w:val="22"/>
                <w:lang w:val="en-US" w:eastAsia="zh-CN" w:bidi="ar"/>
              </w:rPr>
            </w:pPr>
            <w:r>
              <w:rPr>
                <w:rStyle w:val="10"/>
                <w:rFonts w:hint="default" w:ascii="Times New Roman" w:hAnsi="Times New Roman" w:eastAsia="仿宋_GB2312" w:cs="Times New Roman"/>
                <w:b/>
                <w:bCs/>
                <w:sz w:val="24"/>
                <w:szCs w:val="24"/>
                <w:lang w:val="en-US" w:eastAsia="zh-CN" w:bidi="ar"/>
              </w:rPr>
              <w:t>合    计</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1068">
            <w:pPr>
              <w:keepNext w:val="0"/>
              <w:keepLines w:val="0"/>
              <w:widowControl/>
              <w:suppressLineNumbers w:val="0"/>
              <w:jc w:val="center"/>
              <w:textAlignment w:val="center"/>
              <w:rPr>
                <w:rStyle w:val="10"/>
                <w:rFonts w:hint="default" w:ascii="Times New Roman" w:hAnsi="Times New Roman" w:eastAsia="仿宋_GB2312" w:cs="Times New Roman"/>
                <w:b/>
                <w:bCs/>
                <w:sz w:val="24"/>
                <w:szCs w:val="24"/>
                <w:lang w:val="en-US" w:eastAsia="zh-CN" w:bidi="ar"/>
              </w:rPr>
            </w:pPr>
            <w:r>
              <w:rPr>
                <w:rStyle w:val="10"/>
                <w:rFonts w:hint="default" w:ascii="Times New Roman" w:hAnsi="Times New Roman" w:eastAsia="仿宋_GB2312" w:cs="Times New Roman"/>
                <w:b/>
                <w:bCs/>
                <w:sz w:val="24"/>
                <w:szCs w:val="24"/>
                <w:lang w:val="en-US" w:eastAsia="zh-CN" w:bidi="ar"/>
              </w:rPr>
              <w:t>110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2497">
            <w:pPr>
              <w:keepNext w:val="0"/>
              <w:keepLines w:val="0"/>
              <w:widowControl/>
              <w:suppressLineNumbers w:val="0"/>
              <w:jc w:val="center"/>
              <w:textAlignment w:val="center"/>
              <w:rPr>
                <w:rStyle w:val="10"/>
                <w:rFonts w:hint="default" w:ascii="Times New Roman" w:hAnsi="Times New Roman" w:eastAsia="仿宋_GB2312" w:cs="Times New Roman"/>
                <w:b/>
                <w:bCs/>
                <w:sz w:val="24"/>
                <w:szCs w:val="24"/>
                <w:lang w:val="en-US" w:eastAsia="zh-CN" w:bidi="ar"/>
              </w:rPr>
            </w:pPr>
            <w:r>
              <w:rPr>
                <w:rStyle w:val="10"/>
                <w:rFonts w:hint="default" w:ascii="Times New Roman" w:hAnsi="Times New Roman" w:eastAsia="仿宋_GB2312" w:cs="Times New Roman"/>
                <w:b/>
                <w:bCs/>
                <w:sz w:val="24"/>
                <w:szCs w:val="24"/>
                <w:lang w:val="en-US" w:eastAsia="zh-CN" w:bidi="ar"/>
              </w:rPr>
              <w:t>110</w:t>
            </w:r>
          </w:p>
        </w:tc>
      </w:tr>
    </w:tbl>
    <w:p w14:paraId="68129EFD">
      <w:pPr>
        <w:rPr>
          <w:rFonts w:hint="eastAsia" w:eastAsia="宋体"/>
          <w:lang w:val="en-US" w:eastAsia="zh-CN"/>
        </w:rPr>
      </w:pPr>
    </w:p>
    <w:sectPr>
      <w:footerReference r:id="rId3" w:type="default"/>
      <w:pgSz w:w="11906" w:h="16838"/>
      <w:pgMar w:top="2098" w:right="1417" w:bottom="1417" w:left="1587" w:header="680" w:footer="124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161E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2BCE44">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2BCE44">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iYzgzZDMwZDM4ZDIwYjIwYmYyNTlhM2U2MGQ3NjcifQ=="/>
  </w:docVars>
  <w:rsids>
    <w:rsidRoot w:val="216E4B26"/>
    <w:rsid w:val="005F4DEE"/>
    <w:rsid w:val="01570165"/>
    <w:rsid w:val="04A741C5"/>
    <w:rsid w:val="07874481"/>
    <w:rsid w:val="0EB123A1"/>
    <w:rsid w:val="0ECB39D4"/>
    <w:rsid w:val="0F2F0639"/>
    <w:rsid w:val="0FFC42E6"/>
    <w:rsid w:val="16AE650E"/>
    <w:rsid w:val="17812177"/>
    <w:rsid w:val="18013908"/>
    <w:rsid w:val="195D49CC"/>
    <w:rsid w:val="1C8F4D58"/>
    <w:rsid w:val="1DE90301"/>
    <w:rsid w:val="216E4B26"/>
    <w:rsid w:val="24141D1F"/>
    <w:rsid w:val="24470093"/>
    <w:rsid w:val="27826E12"/>
    <w:rsid w:val="2C6B57F0"/>
    <w:rsid w:val="316E0519"/>
    <w:rsid w:val="3696150D"/>
    <w:rsid w:val="3BB347F0"/>
    <w:rsid w:val="435B6133"/>
    <w:rsid w:val="446557F5"/>
    <w:rsid w:val="447E602F"/>
    <w:rsid w:val="46976B1C"/>
    <w:rsid w:val="48D362DC"/>
    <w:rsid w:val="4CE37B52"/>
    <w:rsid w:val="54AD5EDA"/>
    <w:rsid w:val="57B036F5"/>
    <w:rsid w:val="58A400E3"/>
    <w:rsid w:val="58F57C05"/>
    <w:rsid w:val="740C27B7"/>
    <w:rsid w:val="74490515"/>
    <w:rsid w:val="7C0958F0"/>
    <w:rsid w:val="7EF64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eastAsia="方正小标宋简体"/>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3"/>
    <w:qFormat/>
    <w:uiPriority w:val="0"/>
    <w:pPr>
      <w:ind w:firstLine="420" w:firstLineChars="100"/>
    </w:pPr>
  </w:style>
  <w:style w:type="character" w:customStyle="1" w:styleId="9">
    <w:name w:val="font51"/>
    <w:basedOn w:val="8"/>
    <w:qFormat/>
    <w:uiPriority w:val="0"/>
    <w:rPr>
      <w:rFonts w:hint="eastAsia" w:ascii="宋体" w:hAnsi="宋体" w:eastAsia="宋体" w:cs="宋体"/>
      <w:b/>
      <w:bCs/>
      <w:color w:val="000000"/>
      <w:sz w:val="24"/>
      <w:szCs w:val="24"/>
      <w:u w:val="none"/>
    </w:rPr>
  </w:style>
  <w:style w:type="character" w:customStyle="1" w:styleId="10">
    <w:name w:val="font31"/>
    <w:basedOn w:val="8"/>
    <w:qFormat/>
    <w:uiPriority w:val="0"/>
    <w:rPr>
      <w:rFonts w:hint="eastAsia" w:ascii="宋体" w:hAnsi="宋体" w:eastAsia="宋体" w:cs="宋体"/>
      <w:color w:val="000000"/>
      <w:sz w:val="24"/>
      <w:szCs w:val="24"/>
      <w:u w:val="none"/>
    </w:rPr>
  </w:style>
  <w:style w:type="character" w:customStyle="1" w:styleId="11">
    <w:name w:val="font41"/>
    <w:basedOn w:val="8"/>
    <w:qFormat/>
    <w:uiPriority w:val="0"/>
    <w:rPr>
      <w:rFonts w:hint="eastAsia" w:ascii="宋体" w:hAnsi="宋体" w:eastAsia="宋体" w:cs="宋体"/>
      <w:b/>
      <w:bCs/>
      <w:color w:val="000000"/>
      <w:sz w:val="24"/>
      <w:szCs w:val="24"/>
      <w:u w:val="none"/>
    </w:rPr>
  </w:style>
  <w:style w:type="character" w:customStyle="1" w:styleId="12">
    <w:name w:val="font01"/>
    <w:basedOn w:val="8"/>
    <w:qFormat/>
    <w:uiPriority w:val="0"/>
    <w:rPr>
      <w:rFonts w:hint="default" w:ascii="Times New Roman" w:hAnsi="Times New Roman" w:cs="Times New Roman"/>
      <w:color w:val="000000"/>
      <w:sz w:val="24"/>
      <w:szCs w:val="24"/>
      <w:u w:val="none"/>
    </w:rPr>
  </w:style>
  <w:style w:type="character" w:customStyle="1" w:styleId="13">
    <w:name w:val="font1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3255</Words>
  <Characters>3900</Characters>
  <Lines>0</Lines>
  <Paragraphs>0</Paragraphs>
  <TotalTime>28</TotalTime>
  <ScaleCrop>false</ScaleCrop>
  <LinksUpToDate>false</LinksUpToDate>
  <CharactersWithSpaces>3950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2023-07-12T02:25:00Z</dcterms:created>
  <dc:creator>胡志高</dc:creator>
  <cp:lastModifiedBy>那就这样吧</cp:lastModifiedBy>
  <cp:lastPrinted>2026-08-31T02:30:00Z</cp:lastPrinted>
  <dcterms:modified xsi:type="dcterms:W3CDTF">2026-09-07T08:05:49Z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F597517C6A334A5DB4A760A20C508BC0_13</vt:lpwstr>
  </property>
  <property fmtid="{D5CDD505-2E9C-101B-9397-08002B2CF9AE}" pid="4" name="KSOTemplateDocerSaveRecord">
    <vt:lpwstr>eyJoZGlkIjoiMWQ5MTY4OWJjYzUzZDAwZmIxNDcwNzBhYzRhNTFkMGEiLCJ1c2VySWQiOiI3NDU5MTA4MjEifQ==</vt:lpwstr>
  </property>
</Properties>
</file>