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1897AD">
      <w:pPr>
        <w:ind w:firstLine="640"/>
        <w:rPr>
          <w:rFonts w:ascii="Times New Roman" w:hAnsi="Times New Roman"/>
          <w:b w:val="0"/>
          <w:bCs/>
        </w:rPr>
      </w:pPr>
    </w:p>
    <w:p w14:paraId="39B19990">
      <w:pPr>
        <w:ind w:firstLine="640"/>
        <w:rPr>
          <w:rFonts w:ascii="Times New Roman" w:hAnsi="Times New Roman"/>
          <w:b w:val="0"/>
          <w:bCs/>
        </w:rPr>
      </w:pPr>
    </w:p>
    <w:p w14:paraId="62BF4935">
      <w:pPr>
        <w:ind w:firstLine="640"/>
        <w:rPr>
          <w:rFonts w:ascii="Times New Roman" w:hAnsi="Times New Roman"/>
          <w:b w:val="0"/>
          <w:bCs/>
        </w:rPr>
      </w:pPr>
    </w:p>
    <w:p w14:paraId="0EC63013">
      <w:pPr>
        <w:adjustRightInd w:val="0"/>
        <w:snapToGrid w:val="0"/>
        <w:spacing w:line="360" w:lineRule="auto"/>
        <w:ind w:firstLine="0" w:firstLineChars="0"/>
        <w:jc w:val="center"/>
        <w:outlineLvl w:val="0"/>
        <w:rPr>
          <w:rFonts w:ascii="Times New Roman" w:hAnsi="Times New Roman" w:eastAsia="方正小标宋简体"/>
          <w:b w:val="0"/>
          <w:bCs/>
          <w:sz w:val="44"/>
          <w:szCs w:val="44"/>
        </w:rPr>
      </w:pPr>
      <w:bookmarkStart w:id="0" w:name="_Toc18691"/>
      <w:r>
        <w:rPr>
          <w:rFonts w:ascii="Times New Roman" w:hAnsi="Times New Roman" w:eastAsia="方正小标宋简体"/>
          <w:b w:val="0"/>
          <w:bCs/>
          <w:sz w:val="44"/>
          <w:szCs w:val="44"/>
        </w:rPr>
        <w:t>昆山市“十五五”安全生产和应急管理规划</w:t>
      </w:r>
      <w:bookmarkEnd w:id="0"/>
    </w:p>
    <w:p w14:paraId="2E249939">
      <w:pPr>
        <w:adjustRightInd w:val="0"/>
        <w:snapToGrid w:val="0"/>
        <w:spacing w:line="360" w:lineRule="auto"/>
        <w:ind w:firstLine="0" w:firstLineChars="0"/>
        <w:jc w:val="center"/>
        <w:rPr>
          <w:rFonts w:ascii="Times New Roman" w:hAnsi="Times New Roman" w:eastAsia="楷体_GB2312"/>
          <w:b w:val="0"/>
          <w:bCs/>
          <w:sz w:val="40"/>
          <w:szCs w:val="40"/>
        </w:rPr>
      </w:pPr>
      <w:r>
        <w:rPr>
          <w:rFonts w:ascii="Times New Roman" w:hAnsi="Times New Roman" w:eastAsia="楷体_GB2312"/>
          <w:b w:val="0"/>
          <w:bCs/>
          <w:sz w:val="40"/>
          <w:szCs w:val="40"/>
        </w:rPr>
        <w:t>（公开征求意见稿）</w:t>
      </w:r>
    </w:p>
    <w:p w14:paraId="4E9E18D2">
      <w:pPr>
        <w:adjustRightInd w:val="0"/>
        <w:snapToGrid w:val="0"/>
        <w:spacing w:line="360" w:lineRule="auto"/>
        <w:ind w:firstLine="640"/>
        <w:rPr>
          <w:rFonts w:ascii="Times New Roman" w:hAnsi="Times New Roman"/>
          <w:b w:val="0"/>
          <w:bCs/>
        </w:rPr>
      </w:pPr>
    </w:p>
    <w:p w14:paraId="117B6DAF">
      <w:pPr>
        <w:adjustRightInd w:val="0"/>
        <w:snapToGrid w:val="0"/>
        <w:spacing w:line="360" w:lineRule="auto"/>
        <w:ind w:firstLine="640"/>
        <w:rPr>
          <w:rFonts w:ascii="Times New Roman" w:hAnsi="Times New Roman"/>
          <w:b w:val="0"/>
          <w:bCs/>
        </w:rPr>
      </w:pPr>
    </w:p>
    <w:p w14:paraId="52BB8C2E">
      <w:pPr>
        <w:adjustRightInd w:val="0"/>
        <w:snapToGrid w:val="0"/>
        <w:spacing w:line="360" w:lineRule="auto"/>
        <w:ind w:firstLine="640"/>
        <w:rPr>
          <w:rFonts w:ascii="Times New Roman" w:hAnsi="Times New Roman"/>
          <w:b w:val="0"/>
          <w:bCs/>
        </w:rPr>
      </w:pPr>
    </w:p>
    <w:p w14:paraId="4F0F23AB">
      <w:pPr>
        <w:adjustRightInd w:val="0"/>
        <w:snapToGrid w:val="0"/>
        <w:spacing w:line="360" w:lineRule="auto"/>
        <w:ind w:firstLine="640"/>
        <w:rPr>
          <w:rFonts w:ascii="Times New Roman" w:hAnsi="Times New Roman"/>
          <w:b w:val="0"/>
          <w:bCs/>
        </w:rPr>
      </w:pPr>
    </w:p>
    <w:p w14:paraId="47260F56">
      <w:pPr>
        <w:adjustRightInd w:val="0"/>
        <w:snapToGrid w:val="0"/>
        <w:spacing w:line="360" w:lineRule="auto"/>
        <w:ind w:firstLine="640"/>
        <w:rPr>
          <w:rFonts w:ascii="Times New Roman" w:hAnsi="Times New Roman"/>
          <w:b w:val="0"/>
          <w:bCs/>
        </w:rPr>
      </w:pPr>
    </w:p>
    <w:p w14:paraId="3E9F8F76">
      <w:pPr>
        <w:adjustRightInd w:val="0"/>
        <w:snapToGrid w:val="0"/>
        <w:spacing w:line="360" w:lineRule="auto"/>
        <w:ind w:firstLine="640"/>
        <w:rPr>
          <w:rFonts w:ascii="Times New Roman" w:hAnsi="Times New Roman"/>
          <w:b w:val="0"/>
          <w:bCs/>
        </w:rPr>
      </w:pPr>
    </w:p>
    <w:p w14:paraId="42E34E25">
      <w:pPr>
        <w:adjustRightInd w:val="0"/>
        <w:snapToGrid w:val="0"/>
        <w:spacing w:line="360" w:lineRule="auto"/>
        <w:ind w:firstLine="640"/>
        <w:rPr>
          <w:rFonts w:ascii="Times New Roman" w:hAnsi="Times New Roman"/>
          <w:b w:val="0"/>
          <w:bCs/>
        </w:rPr>
      </w:pPr>
    </w:p>
    <w:p w14:paraId="23C6435C">
      <w:pPr>
        <w:adjustRightInd w:val="0"/>
        <w:snapToGrid w:val="0"/>
        <w:spacing w:line="360" w:lineRule="auto"/>
        <w:ind w:firstLine="640"/>
        <w:rPr>
          <w:rFonts w:ascii="Times New Roman" w:hAnsi="Times New Roman"/>
          <w:b w:val="0"/>
          <w:bCs/>
        </w:rPr>
      </w:pPr>
    </w:p>
    <w:p w14:paraId="36849C41">
      <w:pPr>
        <w:adjustRightInd w:val="0"/>
        <w:snapToGrid w:val="0"/>
        <w:spacing w:line="360" w:lineRule="auto"/>
        <w:ind w:firstLine="640"/>
        <w:rPr>
          <w:rFonts w:ascii="Times New Roman" w:hAnsi="Times New Roman"/>
          <w:b w:val="0"/>
          <w:bCs/>
        </w:rPr>
      </w:pPr>
    </w:p>
    <w:p w14:paraId="277B1BAF">
      <w:pPr>
        <w:adjustRightInd w:val="0"/>
        <w:snapToGrid w:val="0"/>
        <w:spacing w:line="360" w:lineRule="auto"/>
        <w:ind w:firstLine="640"/>
        <w:rPr>
          <w:rFonts w:ascii="Times New Roman" w:hAnsi="Times New Roman"/>
          <w:b w:val="0"/>
          <w:bCs/>
        </w:rPr>
      </w:pPr>
    </w:p>
    <w:p w14:paraId="4448F491">
      <w:pPr>
        <w:pStyle w:val="6"/>
        <w:adjustRightInd w:val="0"/>
        <w:snapToGrid w:val="0"/>
        <w:spacing w:line="360" w:lineRule="auto"/>
        <w:ind w:left="0" w:firstLine="640"/>
        <w:rPr>
          <w:rFonts w:ascii="Times New Roman" w:hAnsi="Times New Roman" w:cs="Times New Roman"/>
          <w:b w:val="0"/>
          <w:bCs/>
        </w:rPr>
      </w:pPr>
    </w:p>
    <w:p w14:paraId="4E038354">
      <w:pPr>
        <w:adjustRightInd w:val="0"/>
        <w:snapToGrid w:val="0"/>
        <w:spacing w:line="360" w:lineRule="auto"/>
        <w:ind w:firstLine="0" w:firstLineChars="0"/>
        <w:rPr>
          <w:rFonts w:ascii="Times New Roman" w:hAnsi="Times New Roman"/>
          <w:b w:val="0"/>
          <w:bCs/>
        </w:rPr>
      </w:pPr>
    </w:p>
    <w:p w14:paraId="4C538786">
      <w:pPr>
        <w:adjustRightInd w:val="0"/>
        <w:snapToGrid w:val="0"/>
        <w:spacing w:line="360" w:lineRule="auto"/>
        <w:ind w:firstLine="0" w:firstLineChars="0"/>
        <w:jc w:val="center"/>
        <w:rPr>
          <w:rFonts w:ascii="Times New Roman" w:hAnsi="Times New Roman" w:eastAsia="黑体"/>
          <w:b w:val="0"/>
          <w:bCs/>
          <w:sz w:val="40"/>
          <w:szCs w:val="40"/>
        </w:rPr>
      </w:pPr>
      <w:r>
        <w:rPr>
          <w:rFonts w:ascii="Times New Roman" w:hAnsi="Times New Roman" w:eastAsia="黑体"/>
          <w:b w:val="0"/>
          <w:bCs/>
          <w:sz w:val="40"/>
          <w:szCs w:val="40"/>
        </w:rPr>
        <w:t>昆山市应急管理局</w:t>
      </w:r>
    </w:p>
    <w:p w14:paraId="29CF99A0">
      <w:pPr>
        <w:adjustRightInd w:val="0"/>
        <w:snapToGrid w:val="0"/>
        <w:spacing w:line="360" w:lineRule="auto"/>
        <w:ind w:firstLine="0" w:firstLineChars="0"/>
        <w:jc w:val="center"/>
        <w:rPr>
          <w:rFonts w:ascii="Times New Roman" w:hAnsi="Times New Roman"/>
          <w:b w:val="0"/>
          <w:bCs/>
        </w:rPr>
      </w:pPr>
      <w:r>
        <w:rPr>
          <w:rFonts w:ascii="Times New Roman" w:hAnsi="Times New Roman" w:eastAsia="黑体"/>
          <w:b w:val="0"/>
          <w:bCs/>
          <w:sz w:val="40"/>
          <w:szCs w:val="40"/>
        </w:rPr>
        <w:t>2026年</w:t>
      </w:r>
      <w:r>
        <w:rPr>
          <w:rFonts w:hint="eastAsia" w:ascii="Times New Roman" w:hAnsi="Times New Roman" w:eastAsia="黑体"/>
          <w:b w:val="0"/>
          <w:bCs/>
          <w:sz w:val="40"/>
          <w:szCs w:val="40"/>
          <w:lang w:val="en-US" w:eastAsia="zh-CN"/>
        </w:rPr>
        <w:t>8</w:t>
      </w:r>
      <w:r>
        <w:rPr>
          <w:rFonts w:ascii="Times New Roman" w:hAnsi="Times New Roman" w:eastAsia="黑体"/>
          <w:b w:val="0"/>
          <w:bCs/>
          <w:sz w:val="40"/>
          <w:szCs w:val="40"/>
        </w:rPr>
        <w:t>月3日</w:t>
      </w:r>
    </w:p>
    <w:p w14:paraId="024F8157">
      <w:pPr>
        <w:adjustRightInd w:val="0"/>
        <w:snapToGrid w:val="0"/>
        <w:spacing w:line="360" w:lineRule="auto"/>
        <w:ind w:firstLine="640"/>
        <w:rPr>
          <w:rFonts w:ascii="Times New Roman" w:hAnsi="Times New Roman"/>
          <w:b w:val="0"/>
          <w:bCs/>
        </w:rPr>
        <w:sectPr>
          <w:headerReference r:id="rId7" w:type="first"/>
          <w:footerReference r:id="rId10" w:type="first"/>
          <w:headerReference r:id="rId5" w:type="default"/>
          <w:footerReference r:id="rId8" w:type="default"/>
          <w:headerReference r:id="rId6" w:type="even"/>
          <w:footerReference r:id="rId9" w:type="even"/>
          <w:pgSz w:w="11906" w:h="16838"/>
          <w:pgMar w:top="2041" w:right="1474" w:bottom="1984" w:left="1587" w:header="851" w:footer="992" w:gutter="0"/>
          <w:cols w:space="425" w:num="1"/>
          <w:docGrid w:type="lines" w:linePitch="312" w:charSpace="0"/>
        </w:sectPr>
      </w:pPr>
    </w:p>
    <w:sdt>
      <w:sdtPr>
        <w:rPr>
          <w:rFonts w:hint="eastAsia" w:ascii="黑体" w:hAnsi="黑体" w:eastAsia="黑体" w:cs="黑体"/>
          <w:b w:val="0"/>
          <w:bCs/>
          <w:kern w:val="44"/>
          <w:sz w:val="36"/>
          <w:szCs w:val="36"/>
        </w:rPr>
        <w:id w:val="147477968"/>
        <w15:color w:val="DBDBDB"/>
        <w:docPartObj>
          <w:docPartGallery w:val="Table of Contents"/>
          <w:docPartUnique/>
        </w:docPartObj>
      </w:sdtPr>
      <w:sdtEndPr>
        <w:rPr>
          <w:rFonts w:hint="default" w:ascii="Times New Roman" w:hAnsi="Times New Roman" w:eastAsia="仿宋" w:cs="Times New Roman"/>
          <w:b/>
          <w:bCs/>
          <w:kern w:val="44"/>
          <w:sz w:val="32"/>
          <w:szCs w:val="32"/>
        </w:rPr>
      </w:sdtEndPr>
      <w:sdtContent>
        <w:p w14:paraId="48F279BB">
          <w:pPr>
            <w:spacing w:line="240" w:lineRule="auto"/>
            <w:ind w:firstLine="0" w:firstLineChars="0"/>
            <w:jc w:val="center"/>
          </w:pPr>
          <w:r>
            <w:rPr>
              <w:rFonts w:hint="eastAsia" w:ascii="黑体" w:hAnsi="黑体" w:eastAsia="黑体" w:cs="黑体"/>
              <w:b w:val="0"/>
              <w:bCs/>
              <w:sz w:val="36"/>
              <w:szCs w:val="36"/>
            </w:rPr>
            <w:t>目  录</w:t>
          </w:r>
          <w:r>
            <w:rPr>
              <w:rFonts w:ascii="Times New Roman" w:hAnsi="Times New Roman"/>
              <w:b w:val="0"/>
              <w:bCs/>
            </w:rPr>
            <w:fldChar w:fldCharType="begin"/>
          </w:r>
          <w:r>
            <w:rPr>
              <w:rFonts w:ascii="Times New Roman" w:hAnsi="Times New Roman"/>
              <w:b w:val="0"/>
              <w:bCs/>
            </w:rPr>
            <w:instrText xml:space="preserve">TOC \o "1-2" \h \u </w:instrText>
          </w:r>
          <w:r>
            <w:rPr>
              <w:rFonts w:ascii="Times New Roman" w:hAnsi="Times New Roman"/>
              <w:b w:val="0"/>
              <w:bCs/>
            </w:rPr>
            <w:fldChar w:fldCharType="separate"/>
          </w:r>
        </w:p>
        <w:p w14:paraId="6A7F3B12">
          <w:pPr>
            <w:pStyle w:val="30"/>
            <w:tabs>
              <w:tab w:val="right" w:leader="dot" w:pos="8844"/>
            </w:tabs>
            <w:adjustRightInd w:val="0"/>
            <w:snapToGrid w:val="0"/>
            <w:spacing w:line="560" w:lineRule="exact"/>
            <w:rPr>
              <w:rFonts w:ascii="Times New Roman" w:hAnsi="Times New Roman" w:eastAsia="黑体" w:cs="Times New Roman"/>
              <w:sz w:val="32"/>
              <w:szCs w:val="32"/>
            </w:rPr>
          </w:pPr>
          <w:r>
            <w:fldChar w:fldCharType="begin"/>
          </w:r>
          <w:r>
            <w:instrText xml:space="preserve"> HYPERLINK \l "_Toc7724" </w:instrText>
          </w:r>
          <w:r>
            <w:fldChar w:fldCharType="separate"/>
          </w:r>
          <w:r>
            <w:rPr>
              <w:rFonts w:ascii="Times New Roman" w:hAnsi="Times New Roman" w:eastAsia="黑体" w:cs="Times New Roman"/>
              <w:sz w:val="32"/>
              <w:szCs w:val="32"/>
            </w:rPr>
            <w:t>一、发展基础和面临形势</w:t>
          </w:r>
          <w:r>
            <w:rPr>
              <w:rFonts w:ascii="Times New Roman" w:hAnsi="Times New Roman" w:eastAsia="黑体" w:cs="Times New Roman"/>
              <w:sz w:val="32"/>
              <w:szCs w:val="32"/>
            </w:rPr>
            <w:tab/>
          </w:r>
          <w:r>
            <w:rPr>
              <w:rFonts w:ascii="Times New Roman" w:hAnsi="Times New Roman" w:eastAsia="黑体" w:cs="Times New Roman"/>
              <w:sz w:val="32"/>
              <w:szCs w:val="32"/>
            </w:rPr>
            <w:fldChar w:fldCharType="begin"/>
          </w:r>
          <w:r>
            <w:rPr>
              <w:rFonts w:ascii="Times New Roman" w:hAnsi="Times New Roman" w:eastAsia="黑体" w:cs="Times New Roman"/>
              <w:sz w:val="32"/>
              <w:szCs w:val="32"/>
            </w:rPr>
            <w:instrText xml:space="preserve"> PAGEREF _Toc7724 \h </w:instrText>
          </w:r>
          <w:r>
            <w:rPr>
              <w:rFonts w:ascii="Times New Roman" w:hAnsi="Times New Roman" w:eastAsia="黑体" w:cs="Times New Roman"/>
              <w:sz w:val="32"/>
              <w:szCs w:val="32"/>
            </w:rPr>
            <w:fldChar w:fldCharType="separate"/>
          </w:r>
          <w:r>
            <w:rPr>
              <w:rFonts w:ascii="Times New Roman" w:hAnsi="Times New Roman" w:eastAsia="黑体" w:cs="Times New Roman"/>
              <w:sz w:val="32"/>
              <w:szCs w:val="32"/>
            </w:rPr>
            <w:t>1</w:t>
          </w:r>
          <w:r>
            <w:rPr>
              <w:rFonts w:ascii="Times New Roman" w:hAnsi="Times New Roman" w:eastAsia="黑体" w:cs="Times New Roman"/>
              <w:sz w:val="32"/>
              <w:szCs w:val="32"/>
            </w:rPr>
            <w:fldChar w:fldCharType="end"/>
          </w:r>
          <w:r>
            <w:rPr>
              <w:rFonts w:ascii="Times New Roman" w:hAnsi="Times New Roman" w:eastAsia="黑体" w:cs="Times New Roman"/>
              <w:sz w:val="32"/>
              <w:szCs w:val="32"/>
            </w:rPr>
            <w:fldChar w:fldCharType="end"/>
          </w:r>
        </w:p>
        <w:p w14:paraId="6CC84F1E">
          <w:pPr>
            <w:pStyle w:val="31"/>
            <w:tabs>
              <w:tab w:val="right" w:leader="dot" w:pos="8844"/>
            </w:tabs>
            <w:adjustRightInd w:val="0"/>
            <w:snapToGrid w:val="0"/>
            <w:spacing w:line="560" w:lineRule="exact"/>
            <w:ind w:left="0" w:leftChars="0" w:firstLine="200" w:firstLineChars="100"/>
            <w:rPr>
              <w:rFonts w:ascii="Times New Roman" w:hAnsi="Times New Roman" w:eastAsia="仿宋_GB2312" w:cs="Times New Roman"/>
              <w:sz w:val="32"/>
              <w:szCs w:val="32"/>
            </w:rPr>
          </w:pPr>
          <w:r>
            <w:fldChar w:fldCharType="begin"/>
          </w:r>
          <w:r>
            <w:instrText xml:space="preserve"> HYPERLINK \l "_Toc8100" </w:instrText>
          </w:r>
          <w:r>
            <w:fldChar w:fldCharType="separate"/>
          </w:r>
          <w:r>
            <w:rPr>
              <w:rFonts w:ascii="Times New Roman" w:hAnsi="Times New Roman" w:eastAsia="仿宋_GB2312" w:cs="Times New Roman"/>
              <w:bCs/>
              <w:sz w:val="32"/>
              <w:szCs w:val="32"/>
            </w:rPr>
            <w:t>（一）“十四五”发展成效</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_Toc8100 \h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1</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38FCF92F">
          <w:pPr>
            <w:pStyle w:val="31"/>
            <w:tabs>
              <w:tab w:val="right" w:leader="dot" w:pos="8844"/>
            </w:tabs>
            <w:adjustRightInd w:val="0"/>
            <w:snapToGrid w:val="0"/>
            <w:spacing w:line="560" w:lineRule="exact"/>
            <w:ind w:left="0" w:leftChars="0" w:firstLine="200" w:firstLineChars="100"/>
            <w:rPr>
              <w:rFonts w:ascii="Times New Roman" w:hAnsi="Times New Roman" w:eastAsia="仿宋_GB2312" w:cs="Times New Roman"/>
              <w:sz w:val="32"/>
              <w:szCs w:val="32"/>
            </w:rPr>
          </w:pPr>
          <w:r>
            <w:fldChar w:fldCharType="begin"/>
          </w:r>
          <w:r>
            <w:instrText xml:space="preserve"> HYPERLINK \l "_Toc18279" </w:instrText>
          </w:r>
          <w:r>
            <w:fldChar w:fldCharType="separate"/>
          </w:r>
          <w:r>
            <w:rPr>
              <w:rFonts w:ascii="Times New Roman" w:hAnsi="Times New Roman" w:eastAsia="仿宋_GB2312" w:cs="Times New Roman"/>
              <w:bCs/>
              <w:sz w:val="32"/>
              <w:szCs w:val="32"/>
            </w:rPr>
            <w:t>（二）“十五五”发展面临的挑战</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_Toc18279 \h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7</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250D3C67">
          <w:pPr>
            <w:pStyle w:val="31"/>
            <w:tabs>
              <w:tab w:val="right" w:leader="dot" w:pos="8844"/>
            </w:tabs>
            <w:adjustRightInd w:val="0"/>
            <w:snapToGrid w:val="0"/>
            <w:spacing w:line="560" w:lineRule="exact"/>
            <w:ind w:left="0" w:leftChars="0" w:firstLine="200" w:firstLineChars="100"/>
            <w:rPr>
              <w:rFonts w:ascii="Times New Roman" w:hAnsi="Times New Roman" w:eastAsia="仿宋_GB2312" w:cs="Times New Roman"/>
              <w:sz w:val="32"/>
              <w:szCs w:val="32"/>
            </w:rPr>
          </w:pPr>
          <w:r>
            <w:fldChar w:fldCharType="begin"/>
          </w:r>
          <w:r>
            <w:instrText xml:space="preserve"> HYPERLINK \l "_Toc24269" </w:instrText>
          </w:r>
          <w:r>
            <w:fldChar w:fldCharType="separate"/>
          </w:r>
          <w:r>
            <w:rPr>
              <w:rFonts w:ascii="Times New Roman" w:hAnsi="Times New Roman" w:eastAsia="仿宋_GB2312" w:cs="Times New Roman"/>
              <w:bCs/>
              <w:sz w:val="32"/>
              <w:szCs w:val="32"/>
            </w:rPr>
            <w:t>（三）“十五五”发展面临的机遇</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_Toc24269 \h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9</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566D0133">
          <w:pPr>
            <w:pStyle w:val="30"/>
            <w:tabs>
              <w:tab w:val="right" w:leader="dot" w:pos="8844"/>
            </w:tabs>
            <w:adjustRightInd w:val="0"/>
            <w:snapToGrid w:val="0"/>
            <w:spacing w:line="560" w:lineRule="exact"/>
            <w:rPr>
              <w:rFonts w:ascii="Times New Roman" w:hAnsi="Times New Roman" w:eastAsia="黑体" w:cs="Times New Roman"/>
              <w:sz w:val="32"/>
              <w:szCs w:val="32"/>
            </w:rPr>
          </w:pPr>
          <w:r>
            <w:fldChar w:fldCharType="begin"/>
          </w:r>
          <w:r>
            <w:instrText xml:space="preserve"> HYPERLINK \l "_Toc29437" </w:instrText>
          </w:r>
          <w:r>
            <w:fldChar w:fldCharType="separate"/>
          </w:r>
          <w:r>
            <w:rPr>
              <w:rFonts w:ascii="Times New Roman" w:hAnsi="Times New Roman" w:eastAsia="黑体" w:cs="Times New Roman"/>
              <w:sz w:val="32"/>
              <w:szCs w:val="32"/>
            </w:rPr>
            <w:t>二、指导思想、基本原则和发展目标</w:t>
          </w:r>
          <w:r>
            <w:rPr>
              <w:rFonts w:ascii="Times New Roman" w:hAnsi="Times New Roman" w:eastAsia="黑体" w:cs="Times New Roman"/>
              <w:sz w:val="32"/>
              <w:szCs w:val="32"/>
            </w:rPr>
            <w:tab/>
          </w:r>
          <w:r>
            <w:rPr>
              <w:rFonts w:ascii="Times New Roman" w:hAnsi="Times New Roman" w:eastAsia="黑体" w:cs="Times New Roman"/>
              <w:sz w:val="32"/>
              <w:szCs w:val="32"/>
            </w:rPr>
            <w:fldChar w:fldCharType="begin"/>
          </w:r>
          <w:r>
            <w:rPr>
              <w:rFonts w:ascii="Times New Roman" w:hAnsi="Times New Roman" w:eastAsia="黑体" w:cs="Times New Roman"/>
              <w:sz w:val="32"/>
              <w:szCs w:val="32"/>
            </w:rPr>
            <w:instrText xml:space="preserve"> PAGEREF _Toc29437 \h </w:instrText>
          </w:r>
          <w:r>
            <w:rPr>
              <w:rFonts w:ascii="Times New Roman" w:hAnsi="Times New Roman" w:eastAsia="黑体" w:cs="Times New Roman"/>
              <w:sz w:val="32"/>
              <w:szCs w:val="32"/>
            </w:rPr>
            <w:fldChar w:fldCharType="separate"/>
          </w:r>
          <w:r>
            <w:rPr>
              <w:rFonts w:ascii="Times New Roman" w:hAnsi="Times New Roman" w:eastAsia="黑体" w:cs="Times New Roman"/>
              <w:sz w:val="32"/>
              <w:szCs w:val="32"/>
            </w:rPr>
            <w:t>11</w:t>
          </w:r>
          <w:r>
            <w:rPr>
              <w:rFonts w:ascii="Times New Roman" w:hAnsi="Times New Roman" w:eastAsia="黑体" w:cs="Times New Roman"/>
              <w:sz w:val="32"/>
              <w:szCs w:val="32"/>
            </w:rPr>
            <w:fldChar w:fldCharType="end"/>
          </w:r>
          <w:r>
            <w:rPr>
              <w:rFonts w:ascii="Times New Roman" w:hAnsi="Times New Roman" w:eastAsia="黑体" w:cs="Times New Roman"/>
              <w:sz w:val="32"/>
              <w:szCs w:val="32"/>
            </w:rPr>
            <w:fldChar w:fldCharType="end"/>
          </w:r>
        </w:p>
        <w:p w14:paraId="7B3743B8">
          <w:pPr>
            <w:pStyle w:val="31"/>
            <w:tabs>
              <w:tab w:val="right" w:leader="dot" w:pos="8844"/>
            </w:tabs>
            <w:adjustRightInd w:val="0"/>
            <w:snapToGrid w:val="0"/>
            <w:spacing w:line="560" w:lineRule="exact"/>
            <w:ind w:left="0" w:leftChars="0" w:firstLine="200" w:firstLineChars="100"/>
            <w:rPr>
              <w:rFonts w:ascii="Times New Roman" w:hAnsi="Times New Roman" w:eastAsia="仿宋_GB2312" w:cs="Times New Roman"/>
              <w:sz w:val="32"/>
              <w:szCs w:val="32"/>
            </w:rPr>
          </w:pPr>
          <w:r>
            <w:fldChar w:fldCharType="begin"/>
          </w:r>
          <w:r>
            <w:instrText xml:space="preserve"> HYPERLINK \l "_Toc21491" </w:instrText>
          </w:r>
          <w:r>
            <w:fldChar w:fldCharType="separate"/>
          </w:r>
          <w:r>
            <w:rPr>
              <w:rFonts w:ascii="Times New Roman" w:hAnsi="Times New Roman" w:eastAsia="仿宋_GB2312" w:cs="Times New Roman"/>
              <w:bCs/>
              <w:sz w:val="32"/>
              <w:szCs w:val="32"/>
            </w:rPr>
            <w:t>（一）指导思想</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_Toc21491 \h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11</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06F586D7">
          <w:pPr>
            <w:pStyle w:val="31"/>
            <w:tabs>
              <w:tab w:val="right" w:leader="dot" w:pos="8844"/>
            </w:tabs>
            <w:adjustRightInd w:val="0"/>
            <w:snapToGrid w:val="0"/>
            <w:spacing w:line="560" w:lineRule="exact"/>
            <w:ind w:left="0" w:leftChars="0" w:firstLine="200" w:firstLineChars="100"/>
            <w:rPr>
              <w:rFonts w:ascii="Times New Roman" w:hAnsi="Times New Roman" w:eastAsia="仿宋_GB2312" w:cs="Times New Roman"/>
              <w:sz w:val="32"/>
              <w:szCs w:val="32"/>
            </w:rPr>
          </w:pPr>
          <w:r>
            <w:fldChar w:fldCharType="begin"/>
          </w:r>
          <w:r>
            <w:instrText xml:space="preserve"> HYPERLINK \l "_Toc4719" </w:instrText>
          </w:r>
          <w:r>
            <w:fldChar w:fldCharType="separate"/>
          </w:r>
          <w:r>
            <w:rPr>
              <w:rFonts w:ascii="Times New Roman" w:hAnsi="Times New Roman" w:eastAsia="仿宋_GB2312" w:cs="Times New Roman"/>
              <w:bCs/>
              <w:sz w:val="32"/>
              <w:szCs w:val="32"/>
            </w:rPr>
            <w:t>（二）基本原则</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_Toc4719 \h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12</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34A14BE2">
          <w:pPr>
            <w:pStyle w:val="31"/>
            <w:tabs>
              <w:tab w:val="right" w:leader="dot" w:pos="8844"/>
            </w:tabs>
            <w:adjustRightInd w:val="0"/>
            <w:snapToGrid w:val="0"/>
            <w:spacing w:line="560" w:lineRule="exact"/>
            <w:ind w:left="0" w:leftChars="0" w:firstLine="200" w:firstLineChars="100"/>
            <w:rPr>
              <w:rFonts w:ascii="Times New Roman" w:hAnsi="Times New Roman" w:eastAsia="仿宋_GB2312" w:cs="Times New Roman"/>
              <w:sz w:val="32"/>
              <w:szCs w:val="32"/>
            </w:rPr>
          </w:pPr>
          <w:r>
            <w:fldChar w:fldCharType="begin"/>
          </w:r>
          <w:r>
            <w:instrText xml:space="preserve"> HYPERLINK \l "_Toc17679" </w:instrText>
          </w:r>
          <w:r>
            <w:fldChar w:fldCharType="separate"/>
          </w:r>
          <w:r>
            <w:rPr>
              <w:rFonts w:ascii="Times New Roman" w:hAnsi="Times New Roman" w:eastAsia="仿宋_GB2312" w:cs="Times New Roman"/>
              <w:bCs/>
              <w:sz w:val="32"/>
              <w:szCs w:val="32"/>
            </w:rPr>
            <w:t>（三）发展目标</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_Toc17679 \h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13</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2987C969">
          <w:pPr>
            <w:pStyle w:val="30"/>
            <w:tabs>
              <w:tab w:val="right" w:leader="dot" w:pos="8844"/>
            </w:tabs>
            <w:adjustRightInd w:val="0"/>
            <w:snapToGrid w:val="0"/>
            <w:spacing w:line="560" w:lineRule="exact"/>
            <w:rPr>
              <w:rFonts w:ascii="Times New Roman" w:hAnsi="Times New Roman" w:eastAsia="黑体" w:cs="Times New Roman"/>
              <w:sz w:val="32"/>
              <w:szCs w:val="32"/>
            </w:rPr>
          </w:pPr>
          <w:r>
            <w:fldChar w:fldCharType="begin"/>
          </w:r>
          <w:r>
            <w:instrText xml:space="preserve"> HYPERLINK \l "_Toc27748" </w:instrText>
          </w:r>
          <w:r>
            <w:fldChar w:fldCharType="separate"/>
          </w:r>
          <w:r>
            <w:rPr>
              <w:rFonts w:ascii="Times New Roman" w:hAnsi="Times New Roman" w:eastAsia="黑体" w:cs="Times New Roman"/>
              <w:sz w:val="32"/>
              <w:szCs w:val="32"/>
            </w:rPr>
            <w:t>三、主要任务</w:t>
          </w:r>
          <w:r>
            <w:rPr>
              <w:rFonts w:ascii="Times New Roman" w:hAnsi="Times New Roman" w:eastAsia="黑体" w:cs="Times New Roman"/>
              <w:sz w:val="32"/>
              <w:szCs w:val="32"/>
            </w:rPr>
            <w:tab/>
          </w:r>
          <w:r>
            <w:rPr>
              <w:rFonts w:ascii="Times New Roman" w:hAnsi="Times New Roman" w:eastAsia="黑体" w:cs="Times New Roman"/>
              <w:sz w:val="32"/>
              <w:szCs w:val="32"/>
            </w:rPr>
            <w:fldChar w:fldCharType="begin"/>
          </w:r>
          <w:r>
            <w:rPr>
              <w:rFonts w:ascii="Times New Roman" w:hAnsi="Times New Roman" w:eastAsia="黑体" w:cs="Times New Roman"/>
              <w:sz w:val="32"/>
              <w:szCs w:val="32"/>
            </w:rPr>
            <w:instrText xml:space="preserve"> PAGEREF _Toc27748 \h </w:instrText>
          </w:r>
          <w:r>
            <w:rPr>
              <w:rFonts w:ascii="Times New Roman" w:hAnsi="Times New Roman" w:eastAsia="黑体" w:cs="Times New Roman"/>
              <w:sz w:val="32"/>
              <w:szCs w:val="32"/>
            </w:rPr>
            <w:fldChar w:fldCharType="separate"/>
          </w:r>
          <w:r>
            <w:rPr>
              <w:rFonts w:ascii="Times New Roman" w:hAnsi="Times New Roman" w:eastAsia="黑体" w:cs="Times New Roman"/>
              <w:sz w:val="32"/>
              <w:szCs w:val="32"/>
            </w:rPr>
            <w:t>15</w:t>
          </w:r>
          <w:r>
            <w:rPr>
              <w:rFonts w:ascii="Times New Roman" w:hAnsi="Times New Roman" w:eastAsia="黑体" w:cs="Times New Roman"/>
              <w:sz w:val="32"/>
              <w:szCs w:val="32"/>
            </w:rPr>
            <w:fldChar w:fldCharType="end"/>
          </w:r>
          <w:r>
            <w:rPr>
              <w:rFonts w:ascii="Times New Roman" w:hAnsi="Times New Roman" w:eastAsia="黑体" w:cs="Times New Roman"/>
              <w:sz w:val="32"/>
              <w:szCs w:val="32"/>
            </w:rPr>
            <w:fldChar w:fldCharType="end"/>
          </w:r>
        </w:p>
        <w:p w14:paraId="4EB3016D">
          <w:pPr>
            <w:pStyle w:val="31"/>
            <w:tabs>
              <w:tab w:val="right" w:leader="dot" w:pos="8844"/>
            </w:tabs>
            <w:adjustRightInd w:val="0"/>
            <w:snapToGrid w:val="0"/>
            <w:spacing w:line="560" w:lineRule="exact"/>
            <w:ind w:left="0" w:leftChars="0" w:firstLine="200" w:firstLineChars="100"/>
            <w:rPr>
              <w:rFonts w:ascii="Times New Roman" w:hAnsi="Times New Roman" w:eastAsia="仿宋_GB2312" w:cs="Times New Roman"/>
              <w:sz w:val="32"/>
              <w:szCs w:val="32"/>
            </w:rPr>
          </w:pPr>
          <w:r>
            <w:fldChar w:fldCharType="begin"/>
          </w:r>
          <w:r>
            <w:instrText xml:space="preserve"> HYPERLINK \l "_Toc23670" </w:instrText>
          </w:r>
          <w:r>
            <w:fldChar w:fldCharType="separate"/>
          </w:r>
          <w:r>
            <w:rPr>
              <w:rFonts w:ascii="Times New Roman" w:hAnsi="Times New Roman" w:eastAsia="仿宋_GB2312" w:cs="Times New Roman"/>
              <w:bCs/>
              <w:sz w:val="32"/>
              <w:szCs w:val="32"/>
            </w:rPr>
            <w:t>（一）完善安全生产治理体系，夯实本质安全根基</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_Toc23670 \h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15</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6E815C42">
          <w:pPr>
            <w:pStyle w:val="31"/>
            <w:tabs>
              <w:tab w:val="right" w:leader="dot" w:pos="8844"/>
            </w:tabs>
            <w:adjustRightInd w:val="0"/>
            <w:snapToGrid w:val="0"/>
            <w:spacing w:line="560" w:lineRule="exact"/>
            <w:ind w:left="0" w:leftChars="0" w:firstLine="200" w:firstLineChars="100"/>
            <w:rPr>
              <w:rFonts w:ascii="Times New Roman" w:hAnsi="Times New Roman" w:eastAsia="仿宋_GB2312" w:cs="Times New Roman"/>
              <w:sz w:val="32"/>
              <w:szCs w:val="32"/>
            </w:rPr>
          </w:pPr>
          <w:r>
            <w:fldChar w:fldCharType="begin"/>
          </w:r>
          <w:r>
            <w:instrText xml:space="preserve"> HYPERLINK \l "_Toc12031" </w:instrText>
          </w:r>
          <w:r>
            <w:fldChar w:fldCharType="separate"/>
          </w:r>
          <w:r>
            <w:rPr>
              <w:rFonts w:ascii="Times New Roman" w:hAnsi="Times New Roman" w:eastAsia="仿宋_GB2312" w:cs="Times New Roman"/>
              <w:bCs/>
              <w:sz w:val="32"/>
              <w:szCs w:val="32"/>
            </w:rPr>
            <w:t>（二）健全防灾减灾救灾机制，筑牢城市安全屏障</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_Toc12031 \h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20</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7D8192D0">
          <w:pPr>
            <w:pStyle w:val="31"/>
            <w:tabs>
              <w:tab w:val="right" w:leader="dot" w:pos="8844"/>
            </w:tabs>
            <w:adjustRightInd w:val="0"/>
            <w:snapToGrid w:val="0"/>
            <w:spacing w:line="560" w:lineRule="exact"/>
            <w:ind w:left="0" w:leftChars="0" w:firstLine="200" w:firstLineChars="100"/>
            <w:rPr>
              <w:rFonts w:ascii="Times New Roman" w:hAnsi="Times New Roman" w:eastAsia="仿宋_GB2312" w:cs="Times New Roman"/>
              <w:sz w:val="32"/>
              <w:szCs w:val="32"/>
            </w:rPr>
          </w:pPr>
          <w:r>
            <w:fldChar w:fldCharType="begin"/>
          </w:r>
          <w:r>
            <w:instrText xml:space="preserve"> HYPERLINK \l "_Toc4183" </w:instrText>
          </w:r>
          <w:r>
            <w:fldChar w:fldCharType="separate"/>
          </w:r>
          <w:r>
            <w:rPr>
              <w:rFonts w:ascii="Times New Roman" w:hAnsi="Times New Roman" w:eastAsia="仿宋_GB2312" w:cs="Times New Roman"/>
              <w:bCs/>
              <w:sz w:val="32"/>
              <w:szCs w:val="32"/>
            </w:rPr>
            <w:t>（三）夯实应急救援基础保障，提升响应处置效能</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_Toc4183 \h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22</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2052B21A">
          <w:pPr>
            <w:pStyle w:val="31"/>
            <w:tabs>
              <w:tab w:val="right" w:leader="dot" w:pos="8844"/>
            </w:tabs>
            <w:adjustRightInd w:val="0"/>
            <w:snapToGrid w:val="0"/>
            <w:spacing w:line="560" w:lineRule="exact"/>
            <w:ind w:left="0" w:leftChars="0" w:firstLine="200" w:firstLineChars="100"/>
            <w:rPr>
              <w:rFonts w:ascii="Times New Roman" w:hAnsi="Times New Roman" w:eastAsia="仿宋_GB2312" w:cs="Times New Roman"/>
              <w:sz w:val="32"/>
              <w:szCs w:val="32"/>
            </w:rPr>
          </w:pPr>
          <w:r>
            <w:fldChar w:fldCharType="begin"/>
          </w:r>
          <w:r>
            <w:instrText xml:space="preserve"> HYPERLINK \l "_Toc24035" </w:instrText>
          </w:r>
          <w:r>
            <w:fldChar w:fldCharType="separate"/>
          </w:r>
          <w:r>
            <w:rPr>
              <w:rFonts w:ascii="Times New Roman" w:hAnsi="Times New Roman" w:eastAsia="仿宋_GB2312" w:cs="Times New Roman"/>
              <w:bCs/>
              <w:sz w:val="32"/>
              <w:szCs w:val="32"/>
            </w:rPr>
            <w:t>（四）深化“智慧应急”体系建设，推进智慧应急转型</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_Toc24035 \h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23</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4C551250">
          <w:pPr>
            <w:pStyle w:val="31"/>
            <w:tabs>
              <w:tab w:val="right" w:leader="dot" w:pos="8844"/>
            </w:tabs>
            <w:adjustRightInd w:val="0"/>
            <w:snapToGrid w:val="0"/>
            <w:spacing w:line="560" w:lineRule="exact"/>
            <w:ind w:left="0" w:leftChars="0" w:firstLine="200" w:firstLineChars="100"/>
            <w:rPr>
              <w:rFonts w:ascii="Times New Roman" w:hAnsi="Times New Roman" w:eastAsia="仿宋_GB2312" w:cs="Times New Roman"/>
              <w:sz w:val="32"/>
              <w:szCs w:val="32"/>
            </w:rPr>
          </w:pPr>
          <w:r>
            <w:fldChar w:fldCharType="begin"/>
          </w:r>
          <w:r>
            <w:instrText xml:space="preserve"> HYPERLINK \l "_Toc27446" </w:instrText>
          </w:r>
          <w:r>
            <w:fldChar w:fldCharType="separate"/>
          </w:r>
          <w:r>
            <w:rPr>
              <w:rFonts w:ascii="Times New Roman" w:hAnsi="Times New Roman" w:eastAsia="仿宋_GB2312" w:cs="Times New Roman"/>
              <w:bCs/>
              <w:sz w:val="32"/>
              <w:szCs w:val="32"/>
            </w:rPr>
            <w:t>（五）完善社会共治共享体系，提升全民防范能力</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_Toc27446 \h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25</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466FE078">
          <w:pPr>
            <w:pStyle w:val="30"/>
            <w:tabs>
              <w:tab w:val="right" w:leader="dot" w:pos="8844"/>
            </w:tabs>
            <w:adjustRightInd w:val="0"/>
            <w:snapToGrid w:val="0"/>
            <w:spacing w:line="560" w:lineRule="exact"/>
            <w:rPr>
              <w:rFonts w:ascii="Times New Roman" w:hAnsi="Times New Roman" w:eastAsia="黑体" w:cs="Times New Roman"/>
              <w:sz w:val="32"/>
              <w:szCs w:val="32"/>
            </w:rPr>
          </w:pPr>
          <w:r>
            <w:fldChar w:fldCharType="begin"/>
          </w:r>
          <w:r>
            <w:instrText xml:space="preserve"> HYPERLINK \l "_Toc16712" </w:instrText>
          </w:r>
          <w:r>
            <w:fldChar w:fldCharType="separate"/>
          </w:r>
          <w:r>
            <w:rPr>
              <w:rFonts w:ascii="Times New Roman" w:hAnsi="Times New Roman" w:eastAsia="黑体" w:cs="Times New Roman"/>
              <w:sz w:val="32"/>
              <w:szCs w:val="32"/>
            </w:rPr>
            <w:t>四、重点工程</w:t>
          </w:r>
          <w:r>
            <w:rPr>
              <w:rFonts w:ascii="Times New Roman" w:hAnsi="Times New Roman" w:eastAsia="黑体" w:cs="Times New Roman"/>
              <w:sz w:val="32"/>
              <w:szCs w:val="32"/>
            </w:rPr>
            <w:tab/>
          </w:r>
          <w:r>
            <w:rPr>
              <w:rFonts w:ascii="Times New Roman" w:hAnsi="Times New Roman" w:eastAsia="黑体" w:cs="Times New Roman"/>
              <w:sz w:val="32"/>
              <w:szCs w:val="32"/>
            </w:rPr>
            <w:fldChar w:fldCharType="begin"/>
          </w:r>
          <w:r>
            <w:rPr>
              <w:rFonts w:ascii="Times New Roman" w:hAnsi="Times New Roman" w:eastAsia="黑体" w:cs="Times New Roman"/>
              <w:sz w:val="32"/>
              <w:szCs w:val="32"/>
            </w:rPr>
            <w:instrText xml:space="preserve"> PAGEREF _Toc16712 \h </w:instrText>
          </w:r>
          <w:r>
            <w:rPr>
              <w:rFonts w:ascii="Times New Roman" w:hAnsi="Times New Roman" w:eastAsia="黑体" w:cs="Times New Roman"/>
              <w:sz w:val="32"/>
              <w:szCs w:val="32"/>
            </w:rPr>
            <w:fldChar w:fldCharType="separate"/>
          </w:r>
          <w:r>
            <w:rPr>
              <w:rFonts w:ascii="Times New Roman" w:hAnsi="Times New Roman" w:eastAsia="黑体" w:cs="Times New Roman"/>
              <w:sz w:val="32"/>
              <w:szCs w:val="32"/>
            </w:rPr>
            <w:t>26</w:t>
          </w:r>
          <w:r>
            <w:rPr>
              <w:rFonts w:ascii="Times New Roman" w:hAnsi="Times New Roman" w:eastAsia="黑体" w:cs="Times New Roman"/>
              <w:sz w:val="32"/>
              <w:szCs w:val="32"/>
            </w:rPr>
            <w:fldChar w:fldCharType="end"/>
          </w:r>
          <w:r>
            <w:rPr>
              <w:rFonts w:ascii="Times New Roman" w:hAnsi="Times New Roman" w:eastAsia="黑体" w:cs="Times New Roman"/>
              <w:sz w:val="32"/>
              <w:szCs w:val="32"/>
            </w:rPr>
            <w:fldChar w:fldCharType="end"/>
          </w:r>
        </w:p>
        <w:p w14:paraId="34F8F851">
          <w:pPr>
            <w:pStyle w:val="31"/>
            <w:tabs>
              <w:tab w:val="right" w:leader="dot" w:pos="8844"/>
            </w:tabs>
            <w:adjustRightInd w:val="0"/>
            <w:snapToGrid w:val="0"/>
            <w:spacing w:line="560" w:lineRule="exact"/>
            <w:ind w:left="0" w:leftChars="0" w:firstLine="200" w:firstLineChars="100"/>
            <w:rPr>
              <w:rFonts w:ascii="Times New Roman" w:hAnsi="Times New Roman" w:eastAsia="仿宋_GB2312" w:cs="Times New Roman"/>
              <w:sz w:val="32"/>
              <w:szCs w:val="32"/>
            </w:rPr>
          </w:pPr>
          <w:r>
            <w:fldChar w:fldCharType="begin"/>
          </w:r>
          <w:r>
            <w:instrText xml:space="preserve"> HYPERLINK \l "_Toc25889" </w:instrText>
          </w:r>
          <w:r>
            <w:fldChar w:fldCharType="separate"/>
          </w:r>
          <w:r>
            <w:rPr>
              <w:rFonts w:ascii="Times New Roman" w:hAnsi="Times New Roman" w:eastAsia="仿宋_GB2312" w:cs="Times New Roman"/>
              <w:bCs/>
              <w:sz w:val="32"/>
              <w:szCs w:val="32"/>
            </w:rPr>
            <w:t>（一）安全风险防控能力提升工程</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_Toc25889 \h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26</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60F01D9C">
          <w:pPr>
            <w:pStyle w:val="31"/>
            <w:tabs>
              <w:tab w:val="right" w:leader="dot" w:pos="8844"/>
            </w:tabs>
            <w:adjustRightInd w:val="0"/>
            <w:snapToGrid w:val="0"/>
            <w:spacing w:line="560" w:lineRule="exact"/>
            <w:ind w:left="0" w:leftChars="0" w:firstLine="200" w:firstLineChars="100"/>
            <w:rPr>
              <w:rFonts w:ascii="Times New Roman" w:hAnsi="Times New Roman" w:eastAsia="仿宋_GB2312" w:cs="Times New Roman"/>
              <w:sz w:val="32"/>
              <w:szCs w:val="32"/>
            </w:rPr>
          </w:pPr>
          <w:r>
            <w:fldChar w:fldCharType="begin"/>
          </w:r>
          <w:r>
            <w:instrText xml:space="preserve"> HYPERLINK \l "_Toc26323" </w:instrText>
          </w:r>
          <w:r>
            <w:fldChar w:fldCharType="separate"/>
          </w:r>
          <w:r>
            <w:rPr>
              <w:rFonts w:ascii="Times New Roman" w:hAnsi="Times New Roman" w:eastAsia="仿宋_GB2312" w:cs="Times New Roman"/>
              <w:bCs/>
              <w:sz w:val="32"/>
              <w:szCs w:val="32"/>
            </w:rPr>
            <w:t>（二）灾害应急能力提升工程</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_Toc26323 \h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28</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4DAD90EA">
          <w:pPr>
            <w:pStyle w:val="31"/>
            <w:tabs>
              <w:tab w:val="right" w:leader="dot" w:pos="8844"/>
            </w:tabs>
            <w:adjustRightInd w:val="0"/>
            <w:snapToGrid w:val="0"/>
            <w:spacing w:line="560" w:lineRule="exact"/>
            <w:ind w:left="0" w:leftChars="0" w:firstLine="200" w:firstLineChars="100"/>
            <w:rPr>
              <w:rFonts w:ascii="Times New Roman" w:hAnsi="Times New Roman" w:eastAsia="仿宋_GB2312" w:cs="Times New Roman"/>
              <w:sz w:val="32"/>
              <w:szCs w:val="32"/>
            </w:rPr>
          </w:pPr>
          <w:r>
            <w:fldChar w:fldCharType="begin"/>
          </w:r>
          <w:r>
            <w:instrText xml:space="preserve"> HYPERLINK \l "_Toc15288" </w:instrText>
          </w:r>
          <w:r>
            <w:fldChar w:fldCharType="separate"/>
          </w:r>
          <w:r>
            <w:rPr>
              <w:rFonts w:ascii="Times New Roman" w:hAnsi="Times New Roman" w:eastAsia="仿宋_GB2312" w:cs="Times New Roman"/>
              <w:bCs/>
              <w:sz w:val="32"/>
              <w:szCs w:val="32"/>
            </w:rPr>
            <w:t>（三）应急管理智能感知与数据基座工程</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_Toc15288 \h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29</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7867609B">
          <w:pPr>
            <w:pStyle w:val="31"/>
            <w:tabs>
              <w:tab w:val="right" w:leader="dot" w:pos="8844"/>
            </w:tabs>
            <w:adjustRightInd w:val="0"/>
            <w:snapToGrid w:val="0"/>
            <w:spacing w:line="560" w:lineRule="exact"/>
            <w:ind w:left="0" w:leftChars="0" w:firstLine="200" w:firstLineChars="100"/>
            <w:rPr>
              <w:rFonts w:ascii="Times New Roman" w:hAnsi="Times New Roman" w:eastAsia="仿宋_GB2312" w:cs="Times New Roman"/>
              <w:sz w:val="32"/>
              <w:szCs w:val="32"/>
            </w:rPr>
          </w:pPr>
          <w:r>
            <w:fldChar w:fldCharType="begin"/>
          </w:r>
          <w:r>
            <w:instrText xml:space="preserve"> HYPERLINK \l "_Toc2573" </w:instrText>
          </w:r>
          <w:r>
            <w:fldChar w:fldCharType="separate"/>
          </w:r>
          <w:r>
            <w:rPr>
              <w:rFonts w:ascii="Times New Roman" w:hAnsi="Times New Roman" w:eastAsia="仿宋_GB2312" w:cs="Times New Roman"/>
              <w:bCs/>
              <w:sz w:val="32"/>
              <w:szCs w:val="32"/>
            </w:rPr>
            <w:t>（四）全民安全意识强化工程</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_Toc2573 \h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30</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04C5AF39">
          <w:pPr>
            <w:pStyle w:val="30"/>
            <w:tabs>
              <w:tab w:val="right" w:leader="dot" w:pos="8844"/>
            </w:tabs>
            <w:adjustRightInd w:val="0"/>
            <w:snapToGrid w:val="0"/>
            <w:spacing w:line="560" w:lineRule="exact"/>
            <w:rPr>
              <w:rFonts w:ascii="Times New Roman" w:hAnsi="Times New Roman" w:eastAsia="黑体" w:cs="Times New Roman"/>
              <w:sz w:val="32"/>
              <w:szCs w:val="32"/>
            </w:rPr>
          </w:pPr>
          <w:r>
            <w:fldChar w:fldCharType="begin"/>
          </w:r>
          <w:r>
            <w:instrText xml:space="preserve"> HYPERLINK \l "_Toc26424" </w:instrText>
          </w:r>
          <w:r>
            <w:fldChar w:fldCharType="separate"/>
          </w:r>
          <w:r>
            <w:rPr>
              <w:rFonts w:ascii="Times New Roman" w:hAnsi="Times New Roman" w:eastAsia="黑体" w:cs="Times New Roman"/>
              <w:sz w:val="32"/>
              <w:szCs w:val="32"/>
            </w:rPr>
            <w:t>五、规划实施保障</w:t>
          </w:r>
          <w:r>
            <w:rPr>
              <w:rFonts w:ascii="Times New Roman" w:hAnsi="Times New Roman" w:eastAsia="黑体" w:cs="Times New Roman"/>
              <w:sz w:val="32"/>
              <w:szCs w:val="32"/>
            </w:rPr>
            <w:tab/>
          </w:r>
          <w:r>
            <w:rPr>
              <w:rFonts w:ascii="Times New Roman" w:hAnsi="Times New Roman" w:eastAsia="黑体" w:cs="Times New Roman"/>
              <w:sz w:val="32"/>
              <w:szCs w:val="32"/>
            </w:rPr>
            <w:fldChar w:fldCharType="begin"/>
          </w:r>
          <w:r>
            <w:rPr>
              <w:rFonts w:ascii="Times New Roman" w:hAnsi="Times New Roman" w:eastAsia="黑体" w:cs="Times New Roman"/>
              <w:sz w:val="32"/>
              <w:szCs w:val="32"/>
            </w:rPr>
            <w:instrText xml:space="preserve"> PAGEREF _Toc26424 \h </w:instrText>
          </w:r>
          <w:r>
            <w:rPr>
              <w:rFonts w:ascii="Times New Roman" w:hAnsi="Times New Roman" w:eastAsia="黑体" w:cs="Times New Roman"/>
              <w:sz w:val="32"/>
              <w:szCs w:val="32"/>
            </w:rPr>
            <w:fldChar w:fldCharType="separate"/>
          </w:r>
          <w:r>
            <w:rPr>
              <w:rFonts w:ascii="Times New Roman" w:hAnsi="Times New Roman" w:eastAsia="黑体" w:cs="Times New Roman"/>
              <w:sz w:val="32"/>
              <w:szCs w:val="32"/>
            </w:rPr>
            <w:t>33</w:t>
          </w:r>
          <w:r>
            <w:rPr>
              <w:rFonts w:ascii="Times New Roman" w:hAnsi="Times New Roman" w:eastAsia="黑体" w:cs="Times New Roman"/>
              <w:sz w:val="32"/>
              <w:szCs w:val="32"/>
            </w:rPr>
            <w:fldChar w:fldCharType="end"/>
          </w:r>
          <w:r>
            <w:rPr>
              <w:rFonts w:ascii="Times New Roman" w:hAnsi="Times New Roman" w:eastAsia="黑体" w:cs="Times New Roman"/>
              <w:sz w:val="32"/>
              <w:szCs w:val="32"/>
            </w:rPr>
            <w:fldChar w:fldCharType="end"/>
          </w:r>
        </w:p>
        <w:p w14:paraId="21D7AB80">
          <w:pPr>
            <w:pStyle w:val="31"/>
            <w:tabs>
              <w:tab w:val="right" w:leader="dot" w:pos="8844"/>
            </w:tabs>
            <w:adjustRightInd w:val="0"/>
            <w:snapToGrid w:val="0"/>
            <w:spacing w:line="560" w:lineRule="exact"/>
            <w:ind w:left="0" w:leftChars="0" w:firstLine="200" w:firstLineChars="100"/>
            <w:rPr>
              <w:rFonts w:ascii="Times New Roman" w:hAnsi="Times New Roman" w:eastAsia="仿宋_GB2312" w:cs="Times New Roman"/>
              <w:sz w:val="32"/>
              <w:szCs w:val="32"/>
            </w:rPr>
          </w:pPr>
          <w:r>
            <w:fldChar w:fldCharType="begin"/>
          </w:r>
          <w:r>
            <w:instrText xml:space="preserve"> HYPERLINK \l "_Toc10665" </w:instrText>
          </w:r>
          <w:r>
            <w:fldChar w:fldCharType="separate"/>
          </w:r>
          <w:r>
            <w:rPr>
              <w:rFonts w:ascii="Times New Roman" w:hAnsi="Times New Roman" w:eastAsia="仿宋_GB2312" w:cs="Times New Roman"/>
              <w:bCs/>
              <w:sz w:val="32"/>
              <w:szCs w:val="32"/>
            </w:rPr>
            <w:t>（一）加强组织领导</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_Toc10665 \h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33</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5A30E50A">
          <w:pPr>
            <w:pStyle w:val="31"/>
            <w:tabs>
              <w:tab w:val="right" w:leader="dot" w:pos="8844"/>
            </w:tabs>
            <w:adjustRightInd w:val="0"/>
            <w:snapToGrid w:val="0"/>
            <w:spacing w:line="560" w:lineRule="exact"/>
            <w:ind w:left="0" w:leftChars="0" w:firstLine="200" w:firstLineChars="100"/>
            <w:rPr>
              <w:rFonts w:ascii="Times New Roman" w:hAnsi="Times New Roman" w:eastAsia="仿宋_GB2312" w:cs="Times New Roman"/>
              <w:sz w:val="32"/>
              <w:szCs w:val="32"/>
            </w:rPr>
          </w:pPr>
          <w:r>
            <w:fldChar w:fldCharType="begin"/>
          </w:r>
          <w:r>
            <w:instrText xml:space="preserve"> HYPERLINK \l "_Toc32046" </w:instrText>
          </w:r>
          <w:r>
            <w:fldChar w:fldCharType="separate"/>
          </w:r>
          <w:r>
            <w:rPr>
              <w:rFonts w:ascii="Times New Roman" w:hAnsi="Times New Roman" w:eastAsia="仿宋_GB2312" w:cs="Times New Roman"/>
              <w:bCs/>
              <w:sz w:val="32"/>
              <w:szCs w:val="32"/>
            </w:rPr>
            <w:t>（二）加大资金投入</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_Toc32046 \h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33</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6808935B">
          <w:pPr>
            <w:pStyle w:val="31"/>
            <w:tabs>
              <w:tab w:val="right" w:leader="dot" w:pos="8844"/>
            </w:tabs>
            <w:adjustRightInd w:val="0"/>
            <w:snapToGrid w:val="0"/>
            <w:spacing w:line="560" w:lineRule="exact"/>
            <w:ind w:left="0" w:leftChars="0" w:firstLine="200" w:firstLineChars="100"/>
            <w:rPr>
              <w:rFonts w:ascii="Times New Roman" w:hAnsi="Times New Roman" w:eastAsia="仿宋_GB2312" w:cs="Times New Roman"/>
              <w:sz w:val="32"/>
              <w:szCs w:val="32"/>
            </w:rPr>
          </w:pPr>
          <w:r>
            <w:fldChar w:fldCharType="begin"/>
          </w:r>
          <w:r>
            <w:instrText xml:space="preserve"> HYPERLINK \l "_Toc30723" </w:instrText>
          </w:r>
          <w:r>
            <w:fldChar w:fldCharType="separate"/>
          </w:r>
          <w:r>
            <w:rPr>
              <w:rFonts w:ascii="Times New Roman" w:hAnsi="Times New Roman" w:eastAsia="仿宋_GB2312" w:cs="Times New Roman"/>
              <w:bCs/>
              <w:sz w:val="32"/>
              <w:szCs w:val="32"/>
            </w:rPr>
            <w:t>（三）强化人才支撑</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_Toc30723 \h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34</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2A3CADCD">
          <w:pPr>
            <w:pStyle w:val="31"/>
            <w:tabs>
              <w:tab w:val="right" w:leader="dot" w:pos="8844"/>
            </w:tabs>
            <w:adjustRightInd w:val="0"/>
            <w:snapToGrid w:val="0"/>
            <w:spacing w:line="560" w:lineRule="exact"/>
            <w:ind w:left="0" w:leftChars="0" w:firstLine="200" w:firstLineChars="100"/>
            <w:rPr>
              <w:rFonts w:ascii="Times New Roman" w:hAnsi="Times New Roman" w:eastAsia="仿宋_GB2312" w:cs="Times New Roman"/>
              <w:sz w:val="32"/>
              <w:szCs w:val="32"/>
            </w:rPr>
          </w:pPr>
          <w:r>
            <w:fldChar w:fldCharType="begin"/>
          </w:r>
          <w:r>
            <w:instrText xml:space="preserve"> HYPERLINK \l "_Toc5507" </w:instrText>
          </w:r>
          <w:r>
            <w:fldChar w:fldCharType="separate"/>
          </w:r>
          <w:r>
            <w:rPr>
              <w:rFonts w:ascii="Times New Roman" w:hAnsi="Times New Roman" w:eastAsia="仿宋_GB2312" w:cs="Times New Roman"/>
              <w:bCs/>
              <w:sz w:val="32"/>
              <w:szCs w:val="32"/>
            </w:rPr>
            <w:t>（四）完善动态监测</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_Toc5507 \h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34</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79315E00">
          <w:pPr>
            <w:pStyle w:val="2"/>
            <w:rPr>
              <w:rFonts w:ascii="Times New Roman" w:hAnsi="Times New Roman"/>
              <w:b/>
            </w:rPr>
          </w:pPr>
          <w:r>
            <w:rPr>
              <w:rFonts w:ascii="Times New Roman" w:hAnsi="Times New Roman"/>
              <w:b/>
            </w:rPr>
            <w:fldChar w:fldCharType="end"/>
          </w:r>
        </w:p>
      </w:sdtContent>
    </w:sdt>
    <w:p w14:paraId="1B946049"/>
    <w:p w14:paraId="228D0024">
      <w:pPr>
        <w:ind w:firstLine="640"/>
        <w:rPr>
          <w:rFonts w:ascii="Times New Roman" w:hAnsi="Times New Roman"/>
          <w:b w:val="0"/>
          <w:bCs/>
        </w:rPr>
      </w:pPr>
    </w:p>
    <w:p w14:paraId="6ACB2EEC">
      <w:pPr>
        <w:pStyle w:val="6"/>
        <w:ind w:firstLine="640"/>
        <w:rPr>
          <w:rFonts w:ascii="Times New Roman" w:hAnsi="Times New Roman" w:cs="Times New Roman"/>
          <w:b w:val="0"/>
          <w:bCs/>
        </w:rPr>
      </w:pPr>
    </w:p>
    <w:p w14:paraId="668DD6AF">
      <w:pPr>
        <w:ind w:firstLine="640"/>
        <w:rPr>
          <w:rFonts w:ascii="Times New Roman" w:hAnsi="Times New Roman"/>
          <w:b w:val="0"/>
          <w:bCs/>
        </w:rPr>
      </w:pPr>
    </w:p>
    <w:p w14:paraId="67E70520">
      <w:pPr>
        <w:ind w:firstLine="640"/>
        <w:rPr>
          <w:rFonts w:ascii="Times New Roman" w:hAnsi="Times New Roman"/>
          <w:b w:val="0"/>
          <w:bCs/>
        </w:rPr>
      </w:pPr>
    </w:p>
    <w:p w14:paraId="27968809">
      <w:pPr>
        <w:ind w:firstLine="640"/>
        <w:rPr>
          <w:rFonts w:ascii="Times New Roman" w:hAnsi="Times New Roman"/>
          <w:b w:val="0"/>
          <w:bCs/>
        </w:rPr>
        <w:sectPr>
          <w:headerReference r:id="rId11" w:type="first"/>
          <w:footerReference r:id="rId13" w:type="first"/>
          <w:footerReference r:id="rId12" w:type="default"/>
          <w:pgSz w:w="11906" w:h="16838"/>
          <w:pgMar w:top="1814" w:right="1531" w:bottom="1984" w:left="1531" w:header="851" w:footer="794" w:gutter="0"/>
          <w:pgNumType w:start="1"/>
          <w:cols w:space="425" w:num="1"/>
          <w:docGrid w:type="lines" w:linePitch="326" w:charSpace="0"/>
        </w:sectPr>
      </w:pPr>
    </w:p>
    <w:p w14:paraId="1BF75563">
      <w:pPr>
        <w:pStyle w:val="2"/>
        <w:adjustRightInd w:val="0"/>
        <w:snapToGrid w:val="0"/>
        <w:spacing w:before="0" w:after="0" w:line="360" w:lineRule="auto"/>
        <w:ind w:firstLine="0" w:firstLineChars="0"/>
        <w:rPr>
          <w:rFonts w:ascii="Times New Roman" w:hAnsi="Times New Roman" w:eastAsia="黑体"/>
          <w:sz w:val="40"/>
          <w:szCs w:val="40"/>
        </w:rPr>
      </w:pPr>
      <w:bookmarkStart w:id="1" w:name="_Toc11625_WPSOffice_Level1"/>
      <w:bookmarkStart w:id="2" w:name="_Toc24610"/>
      <w:r>
        <w:rPr>
          <w:rFonts w:ascii="Times New Roman" w:hAnsi="Times New Roman" w:eastAsia="黑体"/>
          <w:sz w:val="40"/>
          <w:szCs w:val="40"/>
        </w:rPr>
        <w:t>昆山市</w:t>
      </w:r>
      <w:bookmarkStart w:id="3" w:name="OLE_LINK3"/>
      <w:r>
        <w:rPr>
          <w:rFonts w:ascii="Times New Roman" w:hAnsi="Times New Roman" w:eastAsia="黑体"/>
          <w:sz w:val="40"/>
          <w:szCs w:val="40"/>
        </w:rPr>
        <w:t>“十五五”安全生产和应急管理规划</w:t>
      </w:r>
      <w:bookmarkEnd w:id="1"/>
      <w:bookmarkEnd w:id="2"/>
      <w:bookmarkEnd w:id="3"/>
    </w:p>
    <w:p w14:paraId="727A67D7">
      <w:pPr>
        <w:pStyle w:val="2"/>
        <w:adjustRightInd w:val="0"/>
        <w:snapToGrid w:val="0"/>
        <w:spacing w:before="0" w:after="0" w:line="360" w:lineRule="auto"/>
        <w:ind w:firstLine="0" w:firstLineChars="0"/>
        <w:rPr>
          <w:rFonts w:ascii="Times New Roman" w:hAnsi="Times New Roman" w:eastAsia="楷体_GB2312"/>
          <w:sz w:val="40"/>
          <w:szCs w:val="40"/>
        </w:rPr>
      </w:pPr>
      <w:bookmarkStart w:id="4" w:name="_Toc23244"/>
      <w:bookmarkStart w:id="5" w:name="_Toc8591_WPSOffice_Level1"/>
      <w:r>
        <w:rPr>
          <w:rFonts w:ascii="Times New Roman" w:hAnsi="Times New Roman" w:eastAsia="楷体_GB2312"/>
          <w:sz w:val="40"/>
          <w:szCs w:val="40"/>
        </w:rPr>
        <w:t>（公开征求意见稿）</w:t>
      </w:r>
      <w:bookmarkEnd w:id="4"/>
      <w:bookmarkEnd w:id="5"/>
    </w:p>
    <w:p w14:paraId="2D44F6F2">
      <w:pPr>
        <w:rPr>
          <w:rFonts w:ascii="Times New Roman" w:hAnsi="Times New Roman"/>
        </w:rPr>
      </w:pPr>
    </w:p>
    <w:p w14:paraId="435A6FBA">
      <w:pPr>
        <w:adjustRightInd w:val="0"/>
        <w:snapToGrid w:val="0"/>
        <w:spacing w:line="560" w:lineRule="exact"/>
        <w:ind w:firstLine="640"/>
        <w:jc w:val="both"/>
        <w:rPr>
          <w:rFonts w:ascii="Times New Roman" w:hAnsi="Times New Roman" w:eastAsia="仿宋_GB2312"/>
          <w:b w:val="0"/>
          <w:bCs/>
        </w:rPr>
      </w:pPr>
      <w:r>
        <w:rPr>
          <w:rFonts w:ascii="Times New Roman" w:hAnsi="Times New Roman" w:eastAsia="仿宋_GB2312"/>
          <w:b w:val="0"/>
          <w:bCs/>
        </w:rPr>
        <w:t>为深入贯彻落实习近平总书记关于应急管理、安全生产、防灾减灾救灾的重要论述和对江苏工作的重要指示精神，全面落实《中共中央关于制定国民经济和社会发展第十五个五年规划的建议》《中共江苏省委关于制定江苏省国民经济和社会发展第十五个五年规划的建议》《江苏省</w:t>
      </w:r>
      <w:r>
        <w:rPr>
          <w:rFonts w:hint="eastAsia" w:ascii="Times New Roman" w:hAnsi="Times New Roman" w:eastAsia="仿宋_GB2312"/>
          <w:b w:val="0"/>
          <w:bCs/>
        </w:rPr>
        <w:t>“</w:t>
      </w:r>
      <w:r>
        <w:rPr>
          <w:rFonts w:ascii="Times New Roman" w:hAnsi="Times New Roman" w:eastAsia="仿宋_GB2312"/>
          <w:b w:val="0"/>
          <w:bCs/>
        </w:rPr>
        <w:t>十五五</w:t>
      </w:r>
      <w:r>
        <w:rPr>
          <w:rFonts w:hint="eastAsia" w:ascii="Times New Roman" w:hAnsi="Times New Roman" w:eastAsia="仿宋_GB2312"/>
          <w:b w:val="0"/>
          <w:bCs/>
        </w:rPr>
        <w:t>”</w:t>
      </w:r>
      <w:r>
        <w:rPr>
          <w:rFonts w:ascii="Times New Roman" w:hAnsi="Times New Roman" w:eastAsia="仿宋_GB2312"/>
          <w:b w:val="0"/>
          <w:bCs/>
        </w:rPr>
        <w:t>应急管理规划》《苏州市</w:t>
      </w:r>
      <w:r>
        <w:rPr>
          <w:rFonts w:hint="eastAsia" w:ascii="Times New Roman" w:hAnsi="Times New Roman" w:eastAsia="仿宋_GB2312"/>
          <w:b w:val="0"/>
          <w:bCs/>
        </w:rPr>
        <w:t>“</w:t>
      </w:r>
      <w:r>
        <w:rPr>
          <w:rFonts w:ascii="Times New Roman" w:hAnsi="Times New Roman" w:eastAsia="仿宋_GB2312"/>
          <w:b w:val="0"/>
          <w:bCs/>
        </w:rPr>
        <w:t>十五五</w:t>
      </w:r>
      <w:r>
        <w:rPr>
          <w:rFonts w:hint="eastAsia" w:ascii="Times New Roman" w:hAnsi="Times New Roman" w:eastAsia="仿宋_GB2312"/>
          <w:b w:val="0"/>
          <w:bCs/>
        </w:rPr>
        <w:t>”</w:t>
      </w:r>
      <w:r>
        <w:rPr>
          <w:rFonts w:ascii="Times New Roman" w:hAnsi="Times New Roman" w:eastAsia="仿宋_GB2312"/>
          <w:b w:val="0"/>
          <w:bCs/>
        </w:rPr>
        <w:t>安全生产和应急管理规划》决策部署，立足昆山市</w:t>
      </w:r>
      <w:r>
        <w:rPr>
          <w:rFonts w:hint="eastAsia" w:ascii="Times New Roman" w:hAnsi="Times New Roman" w:eastAsia="仿宋_GB2312"/>
          <w:b w:val="0"/>
          <w:bCs/>
        </w:rPr>
        <w:t>“</w:t>
      </w:r>
      <w:r>
        <w:rPr>
          <w:rFonts w:ascii="Times New Roman" w:hAnsi="Times New Roman" w:eastAsia="仿宋_GB2312"/>
          <w:b w:val="0"/>
          <w:bCs/>
        </w:rPr>
        <w:t>百强县市首位</w:t>
      </w:r>
      <w:r>
        <w:rPr>
          <w:rFonts w:hint="eastAsia" w:ascii="Times New Roman" w:hAnsi="Times New Roman" w:eastAsia="仿宋_GB2312"/>
          <w:b w:val="0"/>
          <w:bCs/>
        </w:rPr>
        <w:t>”</w:t>
      </w:r>
      <w:r>
        <w:rPr>
          <w:rFonts w:ascii="Times New Roman" w:hAnsi="Times New Roman" w:eastAsia="仿宋_GB2312"/>
          <w:b w:val="0"/>
          <w:bCs/>
        </w:rPr>
        <w:t>战略定位和现代化建设标杆城市发展实际，坚持统筹发展和安全，精准高效防范化解各类重大安全风险，以推动治理模式向事前预防转型为主线，以改革创新为根本动力，一体提升减灾预防、抗灾设防、救灾保障能力，</w:t>
      </w:r>
      <w:r>
        <w:rPr>
          <w:rFonts w:hint="eastAsia" w:ascii="Times New Roman" w:hAnsi="Times New Roman" w:eastAsia="仿宋_GB2312"/>
          <w:b w:val="0"/>
          <w:bCs/>
        </w:rPr>
        <w:t>“</w:t>
      </w:r>
      <w:r>
        <w:rPr>
          <w:rFonts w:ascii="Times New Roman" w:hAnsi="Times New Roman" w:eastAsia="仿宋_GB2312"/>
          <w:b w:val="0"/>
          <w:bCs/>
        </w:rPr>
        <w:t>一件事</w:t>
      </w:r>
      <w:r>
        <w:rPr>
          <w:rFonts w:hint="eastAsia" w:ascii="Times New Roman" w:hAnsi="Times New Roman" w:eastAsia="仿宋_GB2312"/>
          <w:b w:val="0"/>
          <w:bCs/>
        </w:rPr>
        <w:t>”</w:t>
      </w:r>
      <w:r>
        <w:rPr>
          <w:rFonts w:ascii="Times New Roman" w:hAnsi="Times New Roman" w:eastAsia="仿宋_GB2312"/>
          <w:b w:val="0"/>
          <w:bCs/>
        </w:rPr>
        <w:t>全链条推动重点行业领域安全整治，坚决遏制重特大事故，有效防范重大涉险和较大事故，最大限度降低自然灾害损失，坚决维护人民群众生命财产安全和社会大局稳定，护航全市经济社会高质量发展，编制本规划。</w:t>
      </w:r>
    </w:p>
    <w:p w14:paraId="5CF5372B">
      <w:pPr>
        <w:adjustRightInd w:val="0"/>
        <w:snapToGrid w:val="0"/>
        <w:spacing w:line="560" w:lineRule="exact"/>
        <w:ind w:firstLine="640"/>
        <w:jc w:val="both"/>
        <w:outlineLvl w:val="0"/>
        <w:rPr>
          <w:rFonts w:ascii="Times New Roman" w:hAnsi="Times New Roman" w:eastAsia="黑体"/>
          <w:b w:val="0"/>
          <w:bCs/>
        </w:rPr>
      </w:pPr>
      <w:bookmarkStart w:id="6" w:name="_Toc7724"/>
      <w:r>
        <w:rPr>
          <w:rFonts w:ascii="Times New Roman" w:hAnsi="Times New Roman" w:eastAsia="黑体"/>
          <w:b w:val="0"/>
          <w:bCs/>
        </w:rPr>
        <w:t>一、发展基础和面临形势</w:t>
      </w:r>
      <w:bookmarkEnd w:id="6"/>
    </w:p>
    <w:p w14:paraId="2F72FBBE">
      <w:pPr>
        <w:pStyle w:val="3"/>
        <w:adjustRightInd w:val="0"/>
        <w:snapToGrid w:val="0"/>
        <w:spacing w:before="0" w:after="0" w:line="560" w:lineRule="exact"/>
        <w:ind w:firstLine="640"/>
        <w:jc w:val="both"/>
        <w:rPr>
          <w:rFonts w:ascii="Times New Roman" w:hAnsi="Times New Roman" w:eastAsia="楷体_GB2312" w:cs="Times New Roman"/>
        </w:rPr>
      </w:pPr>
      <w:bookmarkStart w:id="7" w:name="_Toc8100"/>
      <w:r>
        <w:rPr>
          <w:rFonts w:ascii="Times New Roman" w:hAnsi="Times New Roman" w:eastAsia="楷体_GB2312" w:cs="Times New Roman"/>
        </w:rPr>
        <w:t>（一）“十四五”发展成效</w:t>
      </w:r>
      <w:bookmarkEnd w:id="7"/>
    </w:p>
    <w:p w14:paraId="77BC3EFA">
      <w:pPr>
        <w:adjustRightInd w:val="0"/>
        <w:snapToGrid w:val="0"/>
        <w:spacing w:line="560" w:lineRule="exact"/>
        <w:ind w:firstLine="640"/>
        <w:jc w:val="both"/>
        <w:rPr>
          <w:rFonts w:ascii="Times New Roman" w:hAnsi="Times New Roman" w:eastAsia="仿宋_GB2312"/>
          <w:b w:val="0"/>
          <w:bCs/>
        </w:rPr>
      </w:pPr>
      <w:r>
        <w:rPr>
          <w:rFonts w:hint="eastAsia" w:ascii="Times New Roman" w:hAnsi="Times New Roman" w:eastAsia="仿宋_GB2312"/>
          <w:b w:val="0"/>
          <w:bCs/>
        </w:rPr>
        <w:t>“</w:t>
      </w:r>
      <w:r>
        <w:rPr>
          <w:rFonts w:ascii="Times New Roman" w:hAnsi="Times New Roman" w:eastAsia="仿宋_GB2312"/>
          <w:b w:val="0"/>
          <w:bCs/>
        </w:rPr>
        <w:t>十四五</w:t>
      </w:r>
      <w:r>
        <w:rPr>
          <w:rFonts w:hint="eastAsia" w:ascii="Times New Roman" w:hAnsi="Times New Roman" w:eastAsia="仿宋_GB2312"/>
          <w:b w:val="0"/>
          <w:bCs/>
        </w:rPr>
        <w:t>”</w:t>
      </w:r>
      <w:r>
        <w:rPr>
          <w:rFonts w:ascii="Times New Roman" w:hAnsi="Times New Roman" w:eastAsia="仿宋_GB2312"/>
          <w:b w:val="0"/>
          <w:bCs/>
        </w:rPr>
        <w:t>期间，昆山市坚决贯彻党中央、国务院和省、市关于应急管理工作的决策部署，始终坚守</w:t>
      </w:r>
      <w:r>
        <w:rPr>
          <w:rFonts w:hint="eastAsia" w:ascii="Times New Roman" w:hAnsi="Times New Roman" w:eastAsia="仿宋_GB2312"/>
          <w:b w:val="0"/>
          <w:bCs/>
        </w:rPr>
        <w:t>“</w:t>
      </w:r>
      <w:r>
        <w:rPr>
          <w:rFonts w:ascii="Times New Roman" w:hAnsi="Times New Roman" w:eastAsia="仿宋_GB2312"/>
          <w:b w:val="0"/>
          <w:bCs/>
        </w:rPr>
        <w:t>人民至上、生命至上</w:t>
      </w:r>
      <w:r>
        <w:rPr>
          <w:rFonts w:hint="eastAsia" w:ascii="Times New Roman" w:hAnsi="Times New Roman" w:eastAsia="仿宋_GB2312"/>
          <w:b w:val="0"/>
          <w:bCs/>
        </w:rPr>
        <w:t>”</w:t>
      </w:r>
      <w:r>
        <w:rPr>
          <w:rFonts w:ascii="Times New Roman" w:hAnsi="Times New Roman" w:eastAsia="仿宋_GB2312"/>
          <w:b w:val="0"/>
          <w:bCs/>
        </w:rPr>
        <w:t>理念，以昆山市安全发展和应急管理现代化为引领，以安全生产专项整治三年行动、治本攻坚三年行动为抓手，统筹推进安全生产、防灾减灾救灾、应急体系建设各项工作，圆满完成</w:t>
      </w:r>
      <w:r>
        <w:rPr>
          <w:rFonts w:hint="eastAsia" w:ascii="Times New Roman" w:hAnsi="Times New Roman" w:eastAsia="仿宋_GB2312"/>
          <w:b w:val="0"/>
          <w:bCs/>
        </w:rPr>
        <w:t>“</w:t>
      </w:r>
      <w:r>
        <w:rPr>
          <w:rFonts w:ascii="Times New Roman" w:hAnsi="Times New Roman" w:eastAsia="仿宋_GB2312"/>
          <w:b w:val="0"/>
          <w:bCs/>
        </w:rPr>
        <w:t>十四五</w:t>
      </w:r>
      <w:r>
        <w:rPr>
          <w:rFonts w:hint="eastAsia" w:ascii="Times New Roman" w:hAnsi="Times New Roman" w:eastAsia="仿宋_GB2312"/>
          <w:b w:val="0"/>
          <w:bCs/>
        </w:rPr>
        <w:t>”</w:t>
      </w:r>
      <w:r>
        <w:rPr>
          <w:rFonts w:ascii="Times New Roman" w:hAnsi="Times New Roman" w:eastAsia="仿宋_GB2312"/>
          <w:b w:val="0"/>
          <w:bCs/>
        </w:rPr>
        <w:t>各项目标指标，安全生产形势持续稳定向好，为全市经济社会高质量发展筑牢安全屏障。</w:t>
      </w:r>
    </w:p>
    <w:p w14:paraId="0B2DB477">
      <w:pPr>
        <w:adjustRightInd w:val="0"/>
        <w:snapToGrid w:val="0"/>
        <w:spacing w:line="560" w:lineRule="exact"/>
        <w:ind w:firstLine="641"/>
        <w:jc w:val="both"/>
        <w:rPr>
          <w:rFonts w:ascii="Times New Roman" w:hAnsi="Times New Roman" w:eastAsia="仿宋_GB2312"/>
        </w:rPr>
      </w:pPr>
      <w:r>
        <w:rPr>
          <w:rFonts w:ascii="Times New Roman" w:hAnsi="Times New Roman" w:eastAsia="仿宋_GB2312"/>
        </w:rPr>
        <w:t>1.安全形势持续向好，核心指标超额完成</w:t>
      </w:r>
    </w:p>
    <w:p w14:paraId="08519C76">
      <w:pPr>
        <w:adjustRightInd w:val="0"/>
        <w:snapToGrid w:val="0"/>
        <w:spacing w:line="560" w:lineRule="exact"/>
        <w:ind w:firstLine="640"/>
        <w:jc w:val="both"/>
        <w:rPr>
          <w:rFonts w:ascii="Times New Roman" w:hAnsi="Times New Roman" w:eastAsia="仿宋_GB2312"/>
          <w:b w:val="0"/>
          <w:bCs/>
          <w:strike/>
        </w:rPr>
      </w:pPr>
      <w:r>
        <w:rPr>
          <w:rFonts w:hint="eastAsia" w:ascii="Times New Roman" w:hAnsi="Times New Roman" w:eastAsia="仿宋_GB2312"/>
          <w:b w:val="0"/>
          <w:bCs/>
        </w:rPr>
        <w:t>“</w:t>
      </w:r>
      <w:r>
        <w:rPr>
          <w:rFonts w:ascii="Times New Roman" w:hAnsi="Times New Roman" w:eastAsia="仿宋_GB2312"/>
          <w:b w:val="0"/>
          <w:bCs/>
        </w:rPr>
        <w:t>十四五</w:t>
      </w:r>
      <w:r>
        <w:rPr>
          <w:rFonts w:hint="eastAsia" w:ascii="Times New Roman" w:hAnsi="Times New Roman" w:eastAsia="仿宋_GB2312"/>
          <w:b w:val="0"/>
          <w:bCs/>
        </w:rPr>
        <w:t>”</w:t>
      </w:r>
      <w:r>
        <w:rPr>
          <w:rFonts w:ascii="Times New Roman" w:hAnsi="Times New Roman" w:eastAsia="仿宋_GB2312"/>
          <w:b w:val="0"/>
          <w:bCs/>
        </w:rPr>
        <w:t>期间，全市生产安全事故起数、死亡人数保持低位运行，未发生较大及以上生产安全事故。生产安全事故起数较</w:t>
      </w:r>
      <w:r>
        <w:rPr>
          <w:rFonts w:hint="eastAsia" w:ascii="Times New Roman" w:hAnsi="Times New Roman" w:eastAsia="仿宋_GB2312"/>
          <w:b w:val="0"/>
          <w:bCs/>
        </w:rPr>
        <w:t>“</w:t>
      </w:r>
      <w:r>
        <w:rPr>
          <w:rFonts w:ascii="Times New Roman" w:hAnsi="Times New Roman" w:eastAsia="仿宋_GB2312"/>
          <w:b w:val="0"/>
          <w:bCs/>
        </w:rPr>
        <w:t>十三五</w:t>
      </w:r>
      <w:r>
        <w:rPr>
          <w:rFonts w:hint="eastAsia" w:ascii="Times New Roman" w:hAnsi="Times New Roman" w:eastAsia="仿宋_GB2312"/>
          <w:b w:val="0"/>
          <w:bCs/>
        </w:rPr>
        <w:t>”</w:t>
      </w:r>
      <w:r>
        <w:rPr>
          <w:rFonts w:ascii="Times New Roman" w:hAnsi="Times New Roman" w:eastAsia="仿宋_GB2312"/>
          <w:b w:val="0"/>
          <w:bCs/>
        </w:rPr>
        <w:t>期末下降72.7%，死亡人数下降60%，超额完成</w:t>
      </w:r>
      <w:r>
        <w:rPr>
          <w:rFonts w:hint="eastAsia" w:ascii="Times New Roman" w:hAnsi="Times New Roman" w:eastAsia="仿宋_GB2312"/>
          <w:b w:val="0"/>
          <w:bCs/>
        </w:rPr>
        <w:t>“</w:t>
      </w:r>
      <w:r>
        <w:rPr>
          <w:rFonts w:ascii="Times New Roman" w:hAnsi="Times New Roman" w:eastAsia="仿宋_GB2312"/>
          <w:b w:val="0"/>
          <w:bCs/>
        </w:rPr>
        <w:t>十四五</w:t>
      </w:r>
      <w:r>
        <w:rPr>
          <w:rFonts w:hint="eastAsia" w:ascii="Times New Roman" w:hAnsi="Times New Roman" w:eastAsia="仿宋_GB2312"/>
          <w:b w:val="0"/>
          <w:bCs/>
        </w:rPr>
        <w:t>”</w:t>
      </w:r>
      <w:r>
        <w:rPr>
          <w:rFonts w:ascii="Times New Roman" w:hAnsi="Times New Roman" w:eastAsia="仿宋_GB2312"/>
          <w:b w:val="0"/>
          <w:bCs/>
        </w:rPr>
        <w:t>规划目标；亿元国内生产总值生产安全事故死亡率降至0.0011，较</w:t>
      </w:r>
      <w:r>
        <w:rPr>
          <w:rFonts w:hint="eastAsia" w:ascii="Times New Roman" w:hAnsi="Times New Roman" w:eastAsia="仿宋_GB2312"/>
          <w:b w:val="0"/>
          <w:bCs/>
        </w:rPr>
        <w:t>“</w:t>
      </w:r>
      <w:r>
        <w:rPr>
          <w:rFonts w:ascii="Times New Roman" w:hAnsi="Times New Roman" w:eastAsia="仿宋_GB2312"/>
          <w:b w:val="0"/>
          <w:bCs/>
        </w:rPr>
        <w:t>十三五</w:t>
      </w:r>
      <w:r>
        <w:rPr>
          <w:rFonts w:hint="eastAsia" w:ascii="Times New Roman" w:hAnsi="Times New Roman" w:eastAsia="仿宋_GB2312"/>
          <w:b w:val="0"/>
          <w:bCs/>
        </w:rPr>
        <w:t>”</w:t>
      </w:r>
      <w:r>
        <w:rPr>
          <w:rFonts w:ascii="Times New Roman" w:hAnsi="Times New Roman" w:eastAsia="仿宋_GB2312"/>
          <w:b w:val="0"/>
          <w:bCs/>
        </w:rPr>
        <w:t>期末下降69%；工矿商贸就业人员十万人生产安全事故死亡率下降超15%，生产经营性火灾事故死亡人数累计下降超20%。重点行业领域事故得到有效遏制，危险化学品、建筑施工、道路交通等领域重大风险管控成效显著。</w:t>
      </w:r>
    </w:p>
    <w:p w14:paraId="206B514A">
      <w:pPr>
        <w:adjustRightInd w:val="0"/>
        <w:snapToGrid w:val="0"/>
        <w:spacing w:line="560" w:lineRule="exact"/>
        <w:ind w:firstLine="641"/>
        <w:jc w:val="both"/>
        <w:rPr>
          <w:rFonts w:ascii="Times New Roman" w:hAnsi="Times New Roman" w:eastAsia="仿宋_GB2312"/>
        </w:rPr>
      </w:pPr>
      <w:r>
        <w:rPr>
          <w:rFonts w:ascii="Times New Roman" w:hAnsi="Times New Roman" w:eastAsia="仿宋_GB2312"/>
        </w:rPr>
        <w:t>2.责任体系不断健全，监管合力全面凝聚</w:t>
      </w:r>
    </w:p>
    <w:p w14:paraId="1455C94C">
      <w:pPr>
        <w:adjustRightInd w:val="0"/>
        <w:snapToGrid w:val="0"/>
        <w:spacing w:line="560" w:lineRule="exact"/>
        <w:ind w:firstLine="640"/>
        <w:jc w:val="both"/>
        <w:rPr>
          <w:rFonts w:ascii="Times New Roman" w:hAnsi="Times New Roman" w:eastAsia="仿宋_GB2312"/>
          <w:b w:val="0"/>
          <w:bCs/>
        </w:rPr>
      </w:pPr>
      <w:r>
        <w:rPr>
          <w:rFonts w:ascii="Times New Roman" w:hAnsi="Times New Roman" w:eastAsia="仿宋_GB2312"/>
          <w:b w:val="0"/>
          <w:bCs/>
        </w:rPr>
        <w:t>严格落实</w:t>
      </w:r>
      <w:r>
        <w:rPr>
          <w:rFonts w:hint="eastAsia" w:ascii="Times New Roman" w:hAnsi="Times New Roman" w:eastAsia="仿宋_GB2312"/>
          <w:b w:val="0"/>
          <w:bCs/>
        </w:rPr>
        <w:t>“</w:t>
      </w:r>
      <w:r>
        <w:rPr>
          <w:rFonts w:ascii="Times New Roman" w:hAnsi="Times New Roman" w:eastAsia="仿宋_GB2312"/>
          <w:b w:val="0"/>
          <w:bCs/>
        </w:rPr>
        <w:t>党政同责、一岗双责、齐抓共管、失职追责</w:t>
      </w:r>
      <w:r>
        <w:rPr>
          <w:rFonts w:hint="eastAsia" w:ascii="Times New Roman" w:hAnsi="Times New Roman" w:eastAsia="仿宋_GB2312"/>
          <w:b w:val="0"/>
          <w:bCs/>
        </w:rPr>
        <w:t>”</w:t>
      </w:r>
      <w:r>
        <w:rPr>
          <w:rFonts w:ascii="Times New Roman" w:hAnsi="Times New Roman" w:eastAsia="仿宋_GB2312"/>
          <w:b w:val="0"/>
          <w:bCs/>
        </w:rPr>
        <w:t>要求，制定完善市委常委会成员、市政府领导班子成员安全生产重点工作清单，市委常委会会议定期研究安全生产重点工作，建立市政府常务会议首项议题研究安全生产工作机制，市四套班子领导结合挂钩联系安排，常态化开展督查检查和指导帮扶等工作，有力推动市委、市政府关于安全生产的各项要求落地落实。落实</w:t>
      </w:r>
      <w:r>
        <w:rPr>
          <w:rFonts w:hint="eastAsia" w:ascii="Times New Roman" w:hAnsi="Times New Roman" w:eastAsia="仿宋_GB2312"/>
          <w:b w:val="0"/>
          <w:bCs/>
        </w:rPr>
        <w:t>“</w:t>
      </w:r>
      <w:r>
        <w:rPr>
          <w:rFonts w:ascii="Times New Roman" w:hAnsi="Times New Roman" w:eastAsia="仿宋_GB2312"/>
          <w:b w:val="0"/>
          <w:bCs/>
        </w:rPr>
        <w:t>三管三必须</w:t>
      </w:r>
      <w:r>
        <w:rPr>
          <w:rFonts w:hint="eastAsia" w:ascii="Times New Roman" w:hAnsi="Times New Roman" w:eastAsia="仿宋_GB2312"/>
          <w:b w:val="0"/>
          <w:bCs/>
        </w:rPr>
        <w:t>”</w:t>
      </w:r>
      <w:r>
        <w:rPr>
          <w:rFonts w:ascii="Times New Roman" w:hAnsi="Times New Roman" w:eastAsia="仿宋_GB2312"/>
          <w:b w:val="0"/>
          <w:bCs/>
        </w:rPr>
        <w:t>要求，健全完善</w:t>
      </w:r>
      <w:r>
        <w:rPr>
          <w:rFonts w:hint="eastAsia" w:ascii="Times New Roman" w:hAnsi="Times New Roman" w:eastAsia="仿宋_GB2312"/>
          <w:b w:val="0"/>
          <w:bCs/>
        </w:rPr>
        <w:t>“</w:t>
      </w:r>
      <w:r>
        <w:rPr>
          <w:rFonts w:ascii="Times New Roman" w:hAnsi="Times New Roman" w:eastAsia="仿宋_GB2312"/>
          <w:b w:val="0"/>
          <w:bCs/>
        </w:rPr>
        <w:t>1+22+3</w:t>
      </w:r>
      <w:r>
        <w:rPr>
          <w:rFonts w:hint="eastAsia" w:ascii="Times New Roman" w:hAnsi="Times New Roman" w:eastAsia="仿宋_GB2312"/>
          <w:b w:val="0"/>
          <w:bCs/>
        </w:rPr>
        <w:t>”</w:t>
      </w:r>
      <w:r>
        <w:rPr>
          <w:rFonts w:ascii="Times New Roman" w:hAnsi="Times New Roman" w:eastAsia="仿宋_GB2312"/>
          <w:b w:val="0"/>
          <w:bCs/>
        </w:rPr>
        <w:t>大安全工作体系，明确电化学储能电站、光伏发电、产后母婴照料服务机构、托育机构、多业态混合楼宇、小型游乐设施等新业态新领域和有关职责交叉领域安全生产职责清单，有力消除监管盲区、堵塞漏洞。夯实基层基础，深入推进安全生产</w:t>
      </w:r>
      <w:r>
        <w:rPr>
          <w:rFonts w:hint="eastAsia" w:ascii="Times New Roman" w:hAnsi="Times New Roman" w:eastAsia="仿宋_GB2312"/>
          <w:b w:val="0"/>
          <w:bCs/>
        </w:rPr>
        <w:t>“</w:t>
      </w:r>
      <w:r>
        <w:rPr>
          <w:rFonts w:ascii="Times New Roman" w:hAnsi="Times New Roman" w:eastAsia="仿宋_GB2312"/>
          <w:b w:val="0"/>
          <w:bCs/>
        </w:rPr>
        <w:t>六化</w:t>
      </w:r>
      <w:r>
        <w:rPr>
          <w:rFonts w:hint="eastAsia" w:ascii="Times New Roman" w:hAnsi="Times New Roman" w:eastAsia="仿宋_GB2312"/>
          <w:b w:val="0"/>
          <w:bCs/>
        </w:rPr>
        <w:t>”</w:t>
      </w:r>
      <w:r>
        <w:rPr>
          <w:rFonts w:ascii="Times New Roman" w:hAnsi="Times New Roman" w:eastAsia="仿宋_GB2312"/>
          <w:b w:val="0"/>
          <w:bCs/>
        </w:rPr>
        <w:t>建设，以</w:t>
      </w:r>
      <w:r>
        <w:rPr>
          <w:rFonts w:hint="eastAsia" w:ascii="Times New Roman" w:hAnsi="Times New Roman" w:eastAsia="仿宋_GB2312"/>
          <w:b w:val="0"/>
          <w:bCs/>
        </w:rPr>
        <w:t>“</w:t>
      </w:r>
      <w:r>
        <w:rPr>
          <w:rFonts w:ascii="Times New Roman" w:hAnsi="Times New Roman" w:eastAsia="仿宋_GB2312"/>
          <w:b w:val="0"/>
          <w:bCs/>
        </w:rPr>
        <w:t>网格化</w:t>
      </w:r>
      <w:r>
        <w:rPr>
          <w:rFonts w:hint="eastAsia" w:ascii="Times New Roman" w:hAnsi="Times New Roman" w:eastAsia="仿宋_GB2312"/>
          <w:b w:val="0"/>
          <w:bCs/>
        </w:rPr>
        <w:t>”“</w:t>
      </w:r>
      <w:r>
        <w:rPr>
          <w:rFonts w:ascii="Times New Roman" w:hAnsi="Times New Roman" w:eastAsia="仿宋_GB2312"/>
          <w:b w:val="0"/>
          <w:bCs/>
        </w:rPr>
        <w:t>专业化</w:t>
      </w:r>
      <w:r>
        <w:rPr>
          <w:rFonts w:hint="eastAsia" w:ascii="Times New Roman" w:hAnsi="Times New Roman" w:eastAsia="仿宋_GB2312"/>
          <w:b w:val="0"/>
          <w:bCs/>
        </w:rPr>
        <w:t>”“</w:t>
      </w:r>
      <w:r>
        <w:rPr>
          <w:rFonts w:ascii="Times New Roman" w:hAnsi="Times New Roman" w:eastAsia="仿宋_GB2312"/>
          <w:b w:val="0"/>
          <w:bCs/>
        </w:rPr>
        <w:t>数字化</w:t>
      </w:r>
      <w:r>
        <w:rPr>
          <w:rFonts w:hint="eastAsia" w:ascii="Times New Roman" w:hAnsi="Times New Roman" w:eastAsia="仿宋_GB2312"/>
          <w:b w:val="0"/>
          <w:bCs/>
        </w:rPr>
        <w:t>”</w:t>
      </w:r>
      <w:r>
        <w:rPr>
          <w:rFonts w:ascii="Times New Roman" w:hAnsi="Times New Roman" w:eastAsia="仿宋_GB2312"/>
          <w:b w:val="0"/>
          <w:bCs/>
        </w:rPr>
        <w:t>强化部门监管责任，以</w:t>
      </w:r>
      <w:r>
        <w:rPr>
          <w:rFonts w:hint="eastAsia" w:ascii="Times New Roman" w:hAnsi="Times New Roman" w:eastAsia="仿宋_GB2312"/>
          <w:b w:val="0"/>
          <w:bCs/>
        </w:rPr>
        <w:t>“</w:t>
      </w:r>
      <w:r>
        <w:rPr>
          <w:rFonts w:ascii="Times New Roman" w:hAnsi="Times New Roman" w:eastAsia="仿宋_GB2312"/>
          <w:b w:val="0"/>
          <w:bCs/>
        </w:rPr>
        <w:t>全员化</w:t>
      </w:r>
      <w:r>
        <w:rPr>
          <w:rFonts w:hint="eastAsia" w:ascii="Times New Roman" w:hAnsi="Times New Roman" w:eastAsia="仿宋_GB2312"/>
          <w:b w:val="0"/>
          <w:bCs/>
        </w:rPr>
        <w:t>”“</w:t>
      </w:r>
      <w:r>
        <w:rPr>
          <w:rFonts w:ascii="Times New Roman" w:hAnsi="Times New Roman" w:eastAsia="仿宋_GB2312"/>
          <w:b w:val="0"/>
          <w:bCs/>
        </w:rPr>
        <w:t>实体化</w:t>
      </w:r>
      <w:r>
        <w:rPr>
          <w:rFonts w:hint="eastAsia" w:ascii="Times New Roman" w:hAnsi="Times New Roman" w:eastAsia="仿宋_GB2312"/>
          <w:b w:val="0"/>
          <w:bCs/>
        </w:rPr>
        <w:t>”“</w:t>
      </w:r>
      <w:r>
        <w:rPr>
          <w:rFonts w:ascii="Times New Roman" w:hAnsi="Times New Roman" w:eastAsia="仿宋_GB2312"/>
          <w:b w:val="0"/>
          <w:bCs/>
        </w:rPr>
        <w:t>手册化</w:t>
      </w:r>
      <w:r>
        <w:rPr>
          <w:rFonts w:hint="eastAsia" w:ascii="Times New Roman" w:hAnsi="Times New Roman" w:eastAsia="仿宋_GB2312"/>
          <w:b w:val="0"/>
          <w:bCs/>
        </w:rPr>
        <w:t>”</w:t>
      </w:r>
      <w:r>
        <w:rPr>
          <w:rFonts w:ascii="Times New Roman" w:hAnsi="Times New Roman" w:eastAsia="仿宋_GB2312"/>
          <w:b w:val="0"/>
          <w:bCs/>
        </w:rPr>
        <w:t>压实企业主体责任。全面实施基层安全生产和消防安全</w:t>
      </w:r>
      <w:r>
        <w:rPr>
          <w:rFonts w:hint="eastAsia" w:ascii="Times New Roman" w:hAnsi="Times New Roman" w:eastAsia="仿宋_GB2312"/>
          <w:b w:val="0"/>
          <w:bCs/>
        </w:rPr>
        <w:t>“</w:t>
      </w:r>
      <w:r>
        <w:rPr>
          <w:rFonts w:ascii="Times New Roman" w:hAnsi="Times New Roman" w:eastAsia="仿宋_GB2312"/>
          <w:b w:val="0"/>
          <w:bCs/>
        </w:rPr>
        <w:t>五位一体</w:t>
      </w:r>
      <w:r>
        <w:rPr>
          <w:rFonts w:hint="eastAsia" w:ascii="Times New Roman" w:hAnsi="Times New Roman" w:eastAsia="仿宋_GB2312"/>
          <w:b w:val="0"/>
          <w:bCs/>
        </w:rPr>
        <w:t>”</w:t>
      </w:r>
      <w:r>
        <w:rPr>
          <w:rFonts w:ascii="Times New Roman" w:hAnsi="Times New Roman" w:eastAsia="仿宋_GB2312"/>
          <w:b w:val="0"/>
          <w:bCs/>
        </w:rPr>
        <w:t>工作体系建设，进一步打通安全生产和消防安全</w:t>
      </w:r>
      <w:r>
        <w:rPr>
          <w:rFonts w:hint="eastAsia" w:ascii="Times New Roman" w:hAnsi="Times New Roman" w:eastAsia="仿宋_GB2312"/>
          <w:b w:val="0"/>
          <w:bCs/>
        </w:rPr>
        <w:t>“</w:t>
      </w:r>
      <w:r>
        <w:rPr>
          <w:rFonts w:ascii="Times New Roman" w:hAnsi="Times New Roman" w:eastAsia="仿宋_GB2312"/>
          <w:b w:val="0"/>
          <w:bCs/>
        </w:rPr>
        <w:t>最后一公里</w:t>
      </w:r>
      <w:r>
        <w:rPr>
          <w:rFonts w:hint="eastAsia" w:ascii="Times New Roman" w:hAnsi="Times New Roman" w:eastAsia="仿宋_GB2312"/>
          <w:b w:val="0"/>
          <w:bCs/>
        </w:rPr>
        <w:t>”</w:t>
      </w:r>
      <w:r>
        <w:rPr>
          <w:rFonts w:ascii="Times New Roman" w:hAnsi="Times New Roman" w:eastAsia="仿宋_GB2312"/>
          <w:b w:val="0"/>
          <w:bCs/>
        </w:rPr>
        <w:t>。持续发挥安全生产考核</w:t>
      </w:r>
      <w:r>
        <w:rPr>
          <w:rFonts w:hint="eastAsia" w:ascii="Times New Roman" w:hAnsi="Times New Roman" w:eastAsia="仿宋_GB2312"/>
          <w:b w:val="0"/>
          <w:bCs/>
        </w:rPr>
        <w:t>“</w:t>
      </w:r>
      <w:r>
        <w:rPr>
          <w:rFonts w:ascii="Times New Roman" w:hAnsi="Times New Roman" w:eastAsia="仿宋_GB2312"/>
          <w:b w:val="0"/>
          <w:bCs/>
        </w:rPr>
        <w:t>指挥棒</w:t>
      </w:r>
      <w:r>
        <w:rPr>
          <w:rFonts w:hint="eastAsia" w:ascii="Times New Roman" w:hAnsi="Times New Roman" w:eastAsia="仿宋_GB2312"/>
          <w:b w:val="0"/>
          <w:bCs/>
        </w:rPr>
        <w:t>”</w:t>
      </w:r>
      <w:r>
        <w:rPr>
          <w:rFonts w:ascii="Times New Roman" w:hAnsi="Times New Roman" w:eastAsia="仿宋_GB2312"/>
          <w:b w:val="0"/>
          <w:bCs/>
        </w:rPr>
        <w:t>作用，健全完善安全生产高质量发展考核体系，定期开展安全生产巡查督导，压紧压实各级安全生产责任。</w:t>
      </w:r>
    </w:p>
    <w:p w14:paraId="2ECAE5D7">
      <w:pPr>
        <w:adjustRightInd w:val="0"/>
        <w:snapToGrid w:val="0"/>
        <w:spacing w:line="560" w:lineRule="exact"/>
        <w:ind w:firstLine="640"/>
        <w:jc w:val="both"/>
        <w:rPr>
          <w:rFonts w:ascii="Times New Roman" w:hAnsi="Times New Roman" w:eastAsia="仿宋_GB2312"/>
          <w:b w:val="0"/>
          <w:bCs/>
          <w:u w:val="single"/>
          <w:shd w:val="clear" w:color="FFFFFF" w:fill="D9D9D9"/>
        </w:rPr>
      </w:pPr>
      <w:r>
        <w:rPr>
          <w:rFonts w:ascii="Times New Roman" w:hAnsi="Times New Roman" w:eastAsia="仿宋_GB2312"/>
          <w:b w:val="0"/>
          <w:bCs/>
        </w:rPr>
        <w:t>市财政局统筹保障安全经费，</w:t>
      </w:r>
      <w:r>
        <w:rPr>
          <w:rFonts w:hint="eastAsia" w:ascii="Times New Roman" w:hAnsi="Times New Roman" w:eastAsia="仿宋_GB2312"/>
          <w:b w:val="0"/>
          <w:bCs/>
        </w:rPr>
        <w:t>“十四五”期间</w:t>
      </w:r>
      <w:r>
        <w:rPr>
          <w:rFonts w:ascii="Times New Roman" w:hAnsi="Times New Roman" w:eastAsia="仿宋_GB2312"/>
          <w:b w:val="0"/>
          <w:bCs/>
        </w:rPr>
        <w:t>应急管理相关经费总投入超1亿元、消防各类预算经费超5亿元，为安全工作开展提供坚实资金支撑。</w:t>
      </w:r>
    </w:p>
    <w:p w14:paraId="4C85C9A3">
      <w:pPr>
        <w:adjustRightInd w:val="0"/>
        <w:snapToGrid w:val="0"/>
        <w:spacing w:line="560" w:lineRule="exact"/>
        <w:ind w:firstLine="641"/>
        <w:jc w:val="both"/>
        <w:rPr>
          <w:rFonts w:ascii="Times New Roman" w:hAnsi="Times New Roman" w:eastAsia="仿宋_GB2312"/>
        </w:rPr>
      </w:pPr>
      <w:r>
        <w:rPr>
          <w:rFonts w:ascii="Times New Roman" w:hAnsi="Times New Roman" w:eastAsia="仿宋_GB2312"/>
        </w:rPr>
        <w:t>3.专项整治纵深推进，风险隐患动态清零</w:t>
      </w:r>
    </w:p>
    <w:p w14:paraId="01D0CA1E">
      <w:pPr>
        <w:adjustRightInd w:val="0"/>
        <w:snapToGrid w:val="0"/>
        <w:spacing w:line="560" w:lineRule="exact"/>
        <w:ind w:firstLine="640"/>
        <w:jc w:val="both"/>
        <w:rPr>
          <w:rFonts w:ascii="Times New Roman" w:hAnsi="Times New Roman" w:eastAsia="仿宋_GB2312"/>
          <w:b w:val="0"/>
          <w:bCs/>
          <w:strike/>
        </w:rPr>
      </w:pPr>
      <w:r>
        <w:rPr>
          <w:rFonts w:ascii="Times New Roman" w:hAnsi="Times New Roman" w:eastAsia="仿宋_GB2312"/>
          <w:b w:val="0"/>
          <w:bCs/>
        </w:rPr>
        <w:t>以</w:t>
      </w:r>
      <w:r>
        <w:rPr>
          <w:rFonts w:hint="eastAsia" w:ascii="Times New Roman" w:hAnsi="Times New Roman" w:eastAsia="仿宋_GB2312"/>
          <w:b w:val="0"/>
          <w:bCs/>
        </w:rPr>
        <w:t>“</w:t>
      </w:r>
      <w:r>
        <w:rPr>
          <w:rFonts w:ascii="Times New Roman" w:hAnsi="Times New Roman" w:eastAsia="仿宋_GB2312"/>
          <w:b w:val="0"/>
          <w:bCs/>
        </w:rPr>
        <w:t>六化</w:t>
      </w:r>
      <w:r>
        <w:rPr>
          <w:rFonts w:hint="eastAsia" w:ascii="Times New Roman" w:hAnsi="Times New Roman" w:eastAsia="仿宋_GB2312"/>
          <w:b w:val="0"/>
          <w:bCs/>
        </w:rPr>
        <w:t>”</w:t>
      </w:r>
      <w:r>
        <w:rPr>
          <w:rFonts w:ascii="Times New Roman" w:hAnsi="Times New Roman" w:eastAsia="仿宋_GB2312"/>
          <w:b w:val="0"/>
          <w:bCs/>
        </w:rPr>
        <w:t>建设为指引，纵深推进安全生产专项整治三年行动、治本攻坚三年行动，聚焦危险化学品、建筑施工、城镇燃气、消防、</w:t>
      </w:r>
      <w:r>
        <w:rPr>
          <w:rFonts w:hint="eastAsia" w:ascii="Times New Roman" w:hAnsi="Times New Roman" w:eastAsia="仿宋_GB2312"/>
          <w:b w:val="0"/>
          <w:bCs/>
        </w:rPr>
        <w:t>“</w:t>
      </w:r>
      <w:r>
        <w:rPr>
          <w:rFonts w:ascii="Times New Roman" w:hAnsi="Times New Roman" w:eastAsia="仿宋_GB2312"/>
          <w:b w:val="0"/>
          <w:bCs/>
        </w:rPr>
        <w:t>厂中厂</w:t>
      </w:r>
      <w:r>
        <w:rPr>
          <w:rFonts w:hint="eastAsia" w:ascii="Times New Roman" w:hAnsi="Times New Roman" w:eastAsia="仿宋_GB2312"/>
          <w:b w:val="0"/>
          <w:bCs/>
        </w:rPr>
        <w:t>”</w:t>
      </w:r>
      <w:r>
        <w:rPr>
          <w:rFonts w:ascii="Times New Roman" w:hAnsi="Times New Roman" w:eastAsia="仿宋_GB2312"/>
          <w:b w:val="0"/>
          <w:bCs/>
        </w:rPr>
        <w:t>等重点领域，全面开展隐患排查整治，圆满完成676项苏州市级、昆山市级、区镇级</w:t>
      </w:r>
      <w:r>
        <w:rPr>
          <w:rFonts w:hint="eastAsia" w:ascii="Times New Roman" w:hAnsi="Times New Roman" w:eastAsia="仿宋_GB2312"/>
          <w:b w:val="0"/>
          <w:bCs/>
        </w:rPr>
        <w:t>“</w:t>
      </w:r>
      <w:r>
        <w:rPr>
          <w:rFonts w:ascii="Times New Roman" w:hAnsi="Times New Roman" w:eastAsia="仿宋_GB2312"/>
          <w:b w:val="0"/>
          <w:bCs/>
        </w:rPr>
        <w:t>三级挂牌</w:t>
      </w:r>
      <w:r>
        <w:rPr>
          <w:rFonts w:hint="eastAsia" w:ascii="Times New Roman" w:hAnsi="Times New Roman" w:eastAsia="仿宋_GB2312"/>
          <w:b w:val="0"/>
          <w:bCs/>
        </w:rPr>
        <w:t>”</w:t>
      </w:r>
      <w:r>
        <w:rPr>
          <w:rFonts w:ascii="Times New Roman" w:hAnsi="Times New Roman" w:eastAsia="仿宋_GB2312"/>
          <w:b w:val="0"/>
          <w:bCs/>
        </w:rPr>
        <w:t>重大事故隐患项目整改。深化九个</w:t>
      </w:r>
      <w:r>
        <w:rPr>
          <w:rFonts w:hint="eastAsia" w:ascii="Times New Roman" w:hAnsi="Times New Roman" w:eastAsia="仿宋_GB2312"/>
          <w:b w:val="0"/>
          <w:bCs/>
        </w:rPr>
        <w:t>“</w:t>
      </w:r>
      <w:r>
        <w:rPr>
          <w:rFonts w:ascii="Times New Roman" w:hAnsi="Times New Roman" w:eastAsia="仿宋_GB2312"/>
          <w:b w:val="0"/>
          <w:bCs/>
        </w:rPr>
        <w:t>一件事</w:t>
      </w:r>
      <w:r>
        <w:rPr>
          <w:rFonts w:hint="eastAsia" w:ascii="Times New Roman" w:hAnsi="Times New Roman" w:eastAsia="仿宋_GB2312"/>
          <w:b w:val="0"/>
          <w:bCs/>
        </w:rPr>
        <w:t>”</w:t>
      </w:r>
      <w:r>
        <w:rPr>
          <w:rFonts w:ascii="Times New Roman" w:hAnsi="Times New Roman" w:eastAsia="仿宋_GB2312"/>
          <w:b w:val="0"/>
          <w:bCs/>
        </w:rPr>
        <w:t>全链条治理，持续拓宽治理领域，统筹推进老旧燃气管道老化更新改造</w:t>
      </w:r>
      <w:r>
        <w:rPr>
          <w:rFonts w:hint="eastAsia" w:ascii="Times New Roman" w:hAnsi="Times New Roman" w:eastAsia="仿宋_GB2312"/>
          <w:b w:val="0"/>
          <w:bCs/>
        </w:rPr>
        <w:t>、“</w:t>
      </w:r>
      <w:r>
        <w:rPr>
          <w:rFonts w:ascii="Times New Roman" w:hAnsi="Times New Roman" w:eastAsia="仿宋_GB2312"/>
          <w:b w:val="0"/>
          <w:bCs/>
        </w:rPr>
        <w:t>瓶改管</w:t>
      </w:r>
      <w:r>
        <w:rPr>
          <w:rFonts w:hint="eastAsia" w:ascii="Times New Roman" w:hAnsi="Times New Roman" w:eastAsia="仿宋_GB2312"/>
          <w:b w:val="0"/>
          <w:bCs/>
        </w:rPr>
        <w:t>”“</w:t>
      </w:r>
      <w:r>
        <w:rPr>
          <w:rFonts w:ascii="Times New Roman" w:hAnsi="Times New Roman" w:eastAsia="仿宋_GB2312"/>
          <w:b w:val="0"/>
          <w:bCs/>
        </w:rPr>
        <w:t>瓶改电</w:t>
      </w:r>
      <w:r>
        <w:rPr>
          <w:rFonts w:hint="eastAsia" w:ascii="Times New Roman" w:hAnsi="Times New Roman" w:eastAsia="仿宋_GB2312"/>
          <w:b w:val="0"/>
          <w:bCs/>
        </w:rPr>
        <w:t>”</w:t>
      </w:r>
      <w:r>
        <w:rPr>
          <w:rFonts w:ascii="Times New Roman" w:hAnsi="Times New Roman" w:eastAsia="仿宋_GB2312"/>
          <w:b w:val="0"/>
          <w:bCs/>
        </w:rPr>
        <w:t>、危房解危、新能源汽车充电场站治理、电动自行车锂离子电池健康评估网点建设等重点工作，有序实施工业企业安全风险报告，全方位防范化解风险隐患。坚持举一反三、常态</w:t>
      </w:r>
      <w:r>
        <w:rPr>
          <w:rFonts w:hint="eastAsia" w:ascii="Times New Roman" w:hAnsi="Times New Roman" w:eastAsia="仿宋_GB2312"/>
          <w:b w:val="0"/>
          <w:bCs/>
        </w:rPr>
        <w:t>化</w:t>
      </w:r>
      <w:r>
        <w:rPr>
          <w:rFonts w:ascii="Times New Roman" w:hAnsi="Times New Roman" w:eastAsia="仿宋_GB2312"/>
          <w:b w:val="0"/>
          <w:bCs/>
        </w:rPr>
        <w:t>开展安全隐患类比排查，从源头上防范化解重大安全风险，坚决筑牢城市安全防线。</w:t>
      </w:r>
    </w:p>
    <w:p w14:paraId="020961E7">
      <w:pPr>
        <w:adjustRightInd w:val="0"/>
        <w:snapToGrid w:val="0"/>
        <w:spacing w:line="560" w:lineRule="exact"/>
        <w:ind w:firstLine="641"/>
        <w:jc w:val="both"/>
        <w:rPr>
          <w:rFonts w:ascii="Times New Roman" w:hAnsi="Times New Roman" w:eastAsia="仿宋_GB2312"/>
        </w:rPr>
      </w:pPr>
      <w:r>
        <w:rPr>
          <w:rFonts w:ascii="Times New Roman" w:hAnsi="Times New Roman" w:eastAsia="仿宋_GB2312"/>
        </w:rPr>
        <w:t>4.应急体系逐步完善，处置能力显著增强</w:t>
      </w:r>
    </w:p>
    <w:p w14:paraId="133FC3A1">
      <w:pPr>
        <w:adjustRightInd w:val="0"/>
        <w:snapToGrid w:val="0"/>
        <w:spacing w:line="560" w:lineRule="exact"/>
        <w:ind w:firstLine="640"/>
        <w:jc w:val="both"/>
        <w:rPr>
          <w:rFonts w:ascii="Times New Roman" w:hAnsi="Times New Roman" w:eastAsia="仿宋_GB2312"/>
          <w:b w:val="0"/>
          <w:bCs/>
        </w:rPr>
      </w:pPr>
      <w:r>
        <w:rPr>
          <w:rFonts w:ascii="Times New Roman" w:hAnsi="Times New Roman" w:eastAsia="仿宋_GB2312"/>
          <w:b w:val="0"/>
          <w:bCs/>
        </w:rPr>
        <w:t>建立应急资源共享联动机制，建成3个中心避难场所和22个固定避难场所，总面积522.13万平方米，可容纳避难人数约19.56万人。昆山市级（救灾）物资储备库建成投用，储备3大类32种救灾物资14.48万件，满足Ⅱ级应急响应（救灾）物资保障要求，</w:t>
      </w:r>
      <w:r>
        <w:rPr>
          <w:rFonts w:hint="eastAsia" w:ascii="Times New Roman" w:hAnsi="Times New Roman" w:eastAsia="仿宋_GB2312"/>
          <w:b w:val="0"/>
          <w:bCs/>
        </w:rPr>
        <w:t>“十四五”期间</w:t>
      </w:r>
      <w:r>
        <w:rPr>
          <w:rFonts w:ascii="Times New Roman" w:hAnsi="Times New Roman" w:eastAsia="仿宋_GB2312"/>
          <w:b w:val="0"/>
          <w:bCs/>
        </w:rPr>
        <w:t>累计调出市级救灾物资3.18万余件。健全完善</w:t>
      </w:r>
      <w:r>
        <w:rPr>
          <w:rFonts w:hint="eastAsia" w:ascii="Times New Roman" w:hAnsi="Times New Roman" w:eastAsia="仿宋_GB2312"/>
          <w:b w:val="0"/>
          <w:bCs/>
        </w:rPr>
        <w:t>“</w:t>
      </w:r>
      <w:r>
        <w:rPr>
          <w:rFonts w:ascii="Times New Roman" w:hAnsi="Times New Roman" w:eastAsia="仿宋_GB2312"/>
          <w:b w:val="0"/>
          <w:bCs/>
        </w:rPr>
        <w:t>1+44+262+377</w:t>
      </w:r>
      <w:r>
        <w:rPr>
          <w:rFonts w:hint="eastAsia" w:ascii="Times New Roman" w:hAnsi="Times New Roman" w:eastAsia="仿宋_GB2312"/>
          <w:b w:val="0"/>
          <w:bCs/>
        </w:rPr>
        <w:t>”</w:t>
      </w:r>
      <w:r>
        <w:rPr>
          <w:rFonts w:ascii="Times New Roman" w:hAnsi="Times New Roman" w:eastAsia="仿宋_GB2312"/>
          <w:b w:val="0"/>
          <w:bCs/>
        </w:rPr>
        <w:t>应急预案体系，11个区镇完成</w:t>
      </w:r>
      <w:r>
        <w:rPr>
          <w:rFonts w:hint="eastAsia" w:ascii="Times New Roman" w:hAnsi="Times New Roman" w:eastAsia="仿宋_GB2312"/>
          <w:b w:val="0"/>
          <w:bCs/>
        </w:rPr>
        <w:t>“</w:t>
      </w:r>
      <w:r>
        <w:rPr>
          <w:rFonts w:ascii="Times New Roman" w:hAnsi="Times New Roman" w:eastAsia="仿宋_GB2312"/>
          <w:b w:val="0"/>
          <w:bCs/>
        </w:rPr>
        <w:t>1+13+X+Y</w:t>
      </w:r>
      <w:r>
        <w:rPr>
          <w:rFonts w:hint="eastAsia" w:ascii="Times New Roman" w:hAnsi="Times New Roman" w:eastAsia="仿宋_GB2312"/>
          <w:b w:val="0"/>
          <w:bCs/>
        </w:rPr>
        <w:t>”</w:t>
      </w:r>
      <w:r>
        <w:rPr>
          <w:rFonts w:ascii="Times New Roman" w:hAnsi="Times New Roman" w:eastAsia="仿宋_GB2312"/>
          <w:b w:val="0"/>
          <w:bCs/>
        </w:rPr>
        <w:t>应急预案体系建设。梳理水、电、气等政府专业救援队伍10支，签约社会应急救援队伍15支。</w:t>
      </w:r>
    </w:p>
    <w:p w14:paraId="4A521D0A">
      <w:pPr>
        <w:adjustRightInd w:val="0"/>
        <w:snapToGrid w:val="0"/>
        <w:spacing w:line="560" w:lineRule="exact"/>
        <w:ind w:firstLine="641"/>
        <w:jc w:val="both"/>
        <w:rPr>
          <w:rFonts w:ascii="Times New Roman" w:hAnsi="Times New Roman" w:eastAsia="仿宋_GB2312"/>
        </w:rPr>
      </w:pPr>
      <w:r>
        <w:rPr>
          <w:rFonts w:ascii="Times New Roman" w:hAnsi="Times New Roman" w:eastAsia="仿宋_GB2312"/>
        </w:rPr>
        <w:t>5.基层基础不断夯实，科技赋能成效凸显</w:t>
      </w:r>
    </w:p>
    <w:p w14:paraId="1CFD9180">
      <w:pPr>
        <w:adjustRightInd w:val="0"/>
        <w:snapToGrid w:val="0"/>
        <w:spacing w:line="560" w:lineRule="exact"/>
        <w:ind w:firstLine="640"/>
        <w:jc w:val="both"/>
        <w:rPr>
          <w:rFonts w:ascii="Times New Roman" w:hAnsi="Times New Roman" w:eastAsia="仿宋_GB2312"/>
          <w:b w:val="0"/>
          <w:bCs/>
        </w:rPr>
      </w:pPr>
      <w:r>
        <w:rPr>
          <w:rFonts w:ascii="Times New Roman" w:hAnsi="Times New Roman" w:eastAsia="仿宋_GB2312"/>
          <w:b w:val="0"/>
          <w:bCs/>
        </w:rPr>
        <w:t>优化网格布局，划分工业企业安全生产网格310个，配备专职巡查员310名，其他重点行业领域依托条线工作人员、社区服务人员等力量，构建网格治理脉络，划分重点领域网格2588个、配备网格员3602名。依托</w:t>
      </w:r>
      <w:r>
        <w:rPr>
          <w:rFonts w:hint="eastAsia" w:ascii="Times New Roman" w:hAnsi="Times New Roman" w:eastAsia="仿宋_GB2312"/>
          <w:b w:val="0"/>
          <w:bCs/>
        </w:rPr>
        <w:t>“</w:t>
      </w:r>
      <w:r>
        <w:rPr>
          <w:rFonts w:ascii="Times New Roman" w:hAnsi="Times New Roman" w:eastAsia="仿宋_GB2312"/>
          <w:b w:val="0"/>
          <w:bCs/>
        </w:rPr>
        <w:t>应急365</w:t>
      </w:r>
      <w:r>
        <w:rPr>
          <w:rFonts w:hint="eastAsia" w:ascii="Times New Roman" w:hAnsi="Times New Roman" w:eastAsia="仿宋_GB2312"/>
          <w:b w:val="0"/>
          <w:bCs/>
        </w:rPr>
        <w:t>”</w:t>
      </w:r>
      <w:r>
        <w:rPr>
          <w:rFonts w:ascii="Times New Roman" w:hAnsi="Times New Roman" w:eastAsia="仿宋_GB2312"/>
          <w:b w:val="0"/>
          <w:bCs/>
        </w:rPr>
        <w:t>平台，我市初步构建起安全生产数字化监管体系</w:t>
      </w:r>
      <w:r>
        <w:rPr>
          <w:rFonts w:hint="eastAsia" w:ascii="Times New Roman" w:hAnsi="Times New Roman" w:eastAsia="仿宋_GB2312"/>
          <w:b w:val="0"/>
          <w:bCs/>
        </w:rPr>
        <w:t>，</w:t>
      </w:r>
      <w:r>
        <w:rPr>
          <w:rFonts w:ascii="Times New Roman" w:hAnsi="Times New Roman" w:eastAsia="仿宋_GB2312"/>
          <w:b w:val="0"/>
          <w:bCs/>
        </w:rPr>
        <w:t>动态纳入工业生产性企业1.7万余家，注册用户4.8万余人。在物联感知网络建设上，已采集风险数据11.5万余条，成功接入97家危化企业（视频1582路、物联数据3015路）及128家工贸企业（视频415路、传感数据1449路）。自上线以来，平台累计登录超1000万条，日均活跃8000余人次，海量、多维的安全生产监管数据，为下一步深化数据治理、拓展智能化应用场景奠定了扎实的数据基础。交管领域建成9个智慧交通项目，新增电子警察961套，总数达4910套，核心城区电警覆盖率100%；道路通行环境持续优化，建成交通信号灯1486座，设置</w:t>
      </w:r>
      <w:r>
        <w:rPr>
          <w:rFonts w:hint="eastAsia" w:ascii="Times New Roman" w:hAnsi="Times New Roman" w:eastAsia="仿宋_GB2312"/>
          <w:b w:val="0"/>
          <w:bCs/>
        </w:rPr>
        <w:t>“</w:t>
      </w:r>
      <w:r>
        <w:rPr>
          <w:rFonts w:ascii="Times New Roman" w:hAnsi="Times New Roman" w:eastAsia="仿宋_GB2312"/>
          <w:b w:val="0"/>
          <w:bCs/>
        </w:rPr>
        <w:t>绿波</w:t>
      </w:r>
      <w:r>
        <w:rPr>
          <w:rFonts w:hint="eastAsia" w:ascii="Times New Roman" w:hAnsi="Times New Roman" w:eastAsia="仿宋_GB2312"/>
          <w:b w:val="0"/>
          <w:bCs/>
        </w:rPr>
        <w:t>”</w:t>
      </w:r>
      <w:r>
        <w:rPr>
          <w:rFonts w:ascii="Times New Roman" w:hAnsi="Times New Roman" w:eastAsia="仿宋_GB2312"/>
          <w:b w:val="0"/>
          <w:bCs/>
        </w:rPr>
        <w:t>路段105条，道路拥堵指数降至1.27，通行效率提升4.5%，位居苏州大市各区县第三。新建1200平米安全生产考试点，获评全省唯一县级示范考试点，深化</w:t>
      </w:r>
      <w:r>
        <w:rPr>
          <w:rFonts w:hint="eastAsia" w:ascii="Times New Roman" w:hAnsi="Times New Roman" w:eastAsia="仿宋_GB2312"/>
          <w:b w:val="0"/>
          <w:bCs/>
        </w:rPr>
        <w:t>“</w:t>
      </w:r>
      <w:r>
        <w:rPr>
          <w:rFonts w:ascii="Times New Roman" w:hAnsi="Times New Roman" w:eastAsia="仿宋_GB2312"/>
          <w:b w:val="0"/>
          <w:bCs/>
        </w:rPr>
        <w:t>安全有我·幸福家园</w:t>
      </w:r>
      <w:r>
        <w:rPr>
          <w:rFonts w:hint="eastAsia" w:ascii="Times New Roman" w:hAnsi="Times New Roman" w:eastAsia="仿宋_GB2312"/>
          <w:b w:val="0"/>
          <w:bCs/>
        </w:rPr>
        <w:t>”</w:t>
      </w:r>
      <w:r>
        <w:rPr>
          <w:rFonts w:ascii="Times New Roman" w:hAnsi="Times New Roman" w:eastAsia="仿宋_GB2312"/>
          <w:b w:val="0"/>
          <w:bCs/>
        </w:rPr>
        <w:t>公众安全教育三年提升计划，建设安全体验馆、安全主题公园等安全文化阵地69处，通过连续多年举办应急科普讲解大赛、</w:t>
      </w:r>
      <w:r>
        <w:rPr>
          <w:rFonts w:hint="eastAsia" w:ascii="Times New Roman" w:hAnsi="Times New Roman" w:eastAsia="仿宋_GB2312"/>
          <w:b w:val="0"/>
          <w:bCs/>
        </w:rPr>
        <w:t>“</w:t>
      </w:r>
      <w:r>
        <w:rPr>
          <w:rFonts w:ascii="Times New Roman" w:hAnsi="Times New Roman" w:eastAsia="仿宋_GB2312"/>
          <w:b w:val="0"/>
          <w:bCs/>
        </w:rPr>
        <w:t>争当安全体验官</w:t>
      </w:r>
      <w:r>
        <w:rPr>
          <w:rFonts w:hint="eastAsia" w:ascii="Times New Roman" w:hAnsi="Times New Roman" w:eastAsia="仿宋_GB2312"/>
          <w:b w:val="0"/>
          <w:bCs/>
        </w:rPr>
        <w:t>”</w:t>
      </w:r>
      <w:r>
        <w:rPr>
          <w:rFonts w:ascii="Times New Roman" w:hAnsi="Times New Roman" w:eastAsia="仿宋_GB2312"/>
          <w:b w:val="0"/>
          <w:bCs/>
        </w:rPr>
        <w:t>阵地打卡活动、城市安全定向赛，以及策划</w:t>
      </w:r>
      <w:r>
        <w:rPr>
          <w:rFonts w:hint="eastAsia" w:ascii="Times New Roman" w:hAnsi="Times New Roman" w:eastAsia="仿宋_GB2312"/>
          <w:b w:val="0"/>
          <w:bCs/>
        </w:rPr>
        <w:t>“</w:t>
      </w:r>
      <w:r>
        <w:rPr>
          <w:rFonts w:ascii="Times New Roman" w:hAnsi="Times New Roman" w:eastAsia="仿宋_GB2312"/>
          <w:b w:val="0"/>
          <w:bCs/>
        </w:rPr>
        <w:t>应急×咖啡</w:t>
      </w:r>
      <w:r>
        <w:rPr>
          <w:rFonts w:hint="eastAsia" w:ascii="Times New Roman" w:hAnsi="Times New Roman" w:eastAsia="仿宋_GB2312"/>
          <w:b w:val="0"/>
          <w:bCs/>
        </w:rPr>
        <w:t>”</w:t>
      </w:r>
      <w:r>
        <w:rPr>
          <w:rFonts w:ascii="Times New Roman" w:hAnsi="Times New Roman" w:eastAsia="仿宋_GB2312"/>
          <w:b w:val="0"/>
          <w:bCs/>
        </w:rPr>
        <w:t>跨界活动、开展安全文化创意设计大赛、发布全市</w:t>
      </w:r>
      <w:r>
        <w:rPr>
          <w:rFonts w:hint="eastAsia" w:ascii="Times New Roman" w:hAnsi="Times New Roman" w:eastAsia="仿宋_GB2312"/>
          <w:b w:val="0"/>
          <w:bCs/>
        </w:rPr>
        <w:t>“</w:t>
      </w:r>
      <w:r>
        <w:rPr>
          <w:rFonts w:ascii="Times New Roman" w:hAnsi="Times New Roman" w:eastAsia="仿宋_GB2312"/>
          <w:b w:val="0"/>
          <w:bCs/>
        </w:rPr>
        <w:t>应急安全宣教科普库</w:t>
      </w:r>
      <w:r>
        <w:rPr>
          <w:rFonts w:hint="eastAsia" w:ascii="Times New Roman" w:hAnsi="Times New Roman" w:eastAsia="仿宋_GB2312"/>
          <w:b w:val="0"/>
          <w:bCs/>
        </w:rPr>
        <w:t>”</w:t>
      </w:r>
      <w:r>
        <w:rPr>
          <w:rFonts w:ascii="Times New Roman" w:hAnsi="Times New Roman" w:eastAsia="仿宋_GB2312"/>
          <w:b w:val="0"/>
          <w:bCs/>
        </w:rPr>
        <w:t>470短视频作品，持续营造</w:t>
      </w:r>
      <w:r>
        <w:rPr>
          <w:rFonts w:hint="eastAsia" w:ascii="Times New Roman" w:hAnsi="Times New Roman" w:eastAsia="仿宋_GB2312"/>
          <w:b w:val="0"/>
          <w:bCs/>
        </w:rPr>
        <w:t>“</w:t>
      </w:r>
      <w:r>
        <w:rPr>
          <w:rFonts w:ascii="Times New Roman" w:hAnsi="Times New Roman" w:eastAsia="仿宋_GB2312"/>
          <w:b w:val="0"/>
          <w:bCs/>
        </w:rPr>
        <w:t>人人讲安全、个个会应急</w:t>
      </w:r>
      <w:r>
        <w:rPr>
          <w:rFonts w:hint="eastAsia" w:ascii="Times New Roman" w:hAnsi="Times New Roman" w:eastAsia="仿宋_GB2312"/>
          <w:b w:val="0"/>
          <w:bCs/>
        </w:rPr>
        <w:t>”</w:t>
      </w:r>
      <w:r>
        <w:rPr>
          <w:rFonts w:ascii="Times New Roman" w:hAnsi="Times New Roman" w:eastAsia="仿宋_GB2312"/>
          <w:b w:val="0"/>
          <w:bCs/>
        </w:rPr>
        <w:t>浓厚氛围，全民安全意识明显提升。</w:t>
      </w:r>
    </w:p>
    <w:p w14:paraId="015C302D">
      <w:pPr>
        <w:adjustRightInd w:val="0"/>
        <w:snapToGrid w:val="0"/>
        <w:spacing w:line="560" w:lineRule="exact"/>
        <w:ind w:firstLine="641"/>
        <w:jc w:val="both"/>
        <w:rPr>
          <w:rFonts w:ascii="Times New Roman" w:hAnsi="Times New Roman" w:eastAsia="仿宋_GB2312"/>
        </w:rPr>
      </w:pPr>
      <w:r>
        <w:rPr>
          <w:rFonts w:ascii="Times New Roman" w:hAnsi="Times New Roman" w:eastAsia="仿宋_GB2312"/>
        </w:rPr>
        <w:t>6.防灾减灾扎实推进，保障能力持续提升</w:t>
      </w:r>
    </w:p>
    <w:p w14:paraId="70A48186">
      <w:pPr>
        <w:adjustRightInd w:val="0"/>
        <w:snapToGrid w:val="0"/>
        <w:spacing w:line="560" w:lineRule="exact"/>
        <w:ind w:firstLine="640"/>
        <w:jc w:val="both"/>
        <w:rPr>
          <w:rFonts w:ascii="Times New Roman" w:hAnsi="Times New Roman" w:eastAsia="仿宋_GB2312"/>
          <w:b w:val="0"/>
          <w:bCs/>
        </w:rPr>
      </w:pPr>
      <w:r>
        <w:rPr>
          <w:rFonts w:ascii="Times New Roman" w:hAnsi="Times New Roman" w:eastAsia="仿宋_GB2312"/>
          <w:b w:val="0"/>
          <w:bCs/>
        </w:rPr>
        <w:t>完成第一次全国自然灾害综合风险普查，采集3025条调查任务；完成2.74亿平方米共20.5万栋房屋、1642公里道路、1892座桥梁、26.13公里航道、1095公里堤防、459公里供水管线和1062座水闸等承灾体调查任务，总体进度居全市前列。建成市级避难场所25个，可容纳19.56万人应急避难，落实人防工程142处。水务领域完成河道整治181.7km，新增排涝流量110立方米每秒，新建、改建市政雨水管渠156km，完成昆嘉路、金阳路等64处积水点改造；防汛视频会商系统实现省、苏州、昆山、区镇四级联通，汛期24小时雨情、水情研判和台风监测预警常态化。持续优化观测站网布局，构建起立体化、智能化的监测体系。气象与水务部门联合建成70个单雨量站，形成2-3公里精度的雨情监测</w:t>
      </w:r>
      <w:r>
        <w:rPr>
          <w:rFonts w:hint="eastAsia" w:ascii="Times New Roman" w:hAnsi="Times New Roman" w:eastAsia="仿宋_GB2312"/>
          <w:b w:val="0"/>
          <w:bCs/>
        </w:rPr>
        <w:t>“</w:t>
      </w:r>
      <w:r>
        <w:rPr>
          <w:rFonts w:ascii="Times New Roman" w:hAnsi="Times New Roman" w:eastAsia="仿宋_GB2312"/>
          <w:b w:val="0"/>
          <w:bCs/>
        </w:rPr>
        <w:t>一张网</w:t>
      </w:r>
      <w:r>
        <w:rPr>
          <w:rFonts w:hint="eastAsia" w:ascii="Times New Roman" w:hAnsi="Times New Roman" w:eastAsia="仿宋_GB2312"/>
          <w:b w:val="0"/>
          <w:bCs/>
        </w:rPr>
        <w:t>”</w:t>
      </w:r>
      <w:r>
        <w:rPr>
          <w:rFonts w:ascii="Times New Roman" w:hAnsi="Times New Roman" w:eastAsia="仿宋_GB2312"/>
          <w:b w:val="0"/>
          <w:bCs/>
        </w:rPr>
        <w:t>，全域</w:t>
      </w:r>
      <w:r>
        <w:rPr>
          <w:rFonts w:hint="eastAsia" w:ascii="Times New Roman" w:hAnsi="Times New Roman" w:eastAsia="仿宋_GB2312"/>
          <w:b w:val="0"/>
          <w:bCs/>
        </w:rPr>
        <w:t>“</w:t>
      </w:r>
      <w:r>
        <w:rPr>
          <w:rFonts w:ascii="Times New Roman" w:hAnsi="Times New Roman" w:eastAsia="仿宋_GB2312"/>
          <w:b w:val="0"/>
          <w:bCs/>
        </w:rPr>
        <w:t>1+7+9+12+70</w:t>
      </w:r>
      <w:r>
        <w:rPr>
          <w:rFonts w:hint="eastAsia" w:ascii="Times New Roman" w:hAnsi="Times New Roman" w:eastAsia="仿宋_GB2312"/>
          <w:b w:val="0"/>
          <w:bCs/>
        </w:rPr>
        <w:t>”</w:t>
      </w:r>
      <w:r>
        <w:rPr>
          <w:rFonts w:ascii="Times New Roman" w:hAnsi="Times New Roman" w:eastAsia="仿宋_GB2312"/>
          <w:b w:val="0"/>
          <w:bCs/>
        </w:rPr>
        <w:t>观测格局全面形成。建成投用X波段双偏振天气雷达，有效补齐了低层强对流观测短板。联合交通、轨交部门，实现轨交11号线沿线9个关键站点的气象监测全覆盖。联合农业农村、保险等部门建成12个农业风险减量监测站，打造气象、农情、墒情、旱情</w:t>
      </w:r>
      <w:r>
        <w:rPr>
          <w:rFonts w:hint="eastAsia" w:ascii="Times New Roman" w:hAnsi="Times New Roman" w:eastAsia="仿宋_GB2312"/>
          <w:b w:val="0"/>
          <w:bCs/>
        </w:rPr>
        <w:t>“</w:t>
      </w:r>
      <w:r>
        <w:rPr>
          <w:rFonts w:ascii="Times New Roman" w:hAnsi="Times New Roman" w:eastAsia="仿宋_GB2312"/>
          <w:b w:val="0"/>
          <w:bCs/>
        </w:rPr>
        <w:t>四合一</w:t>
      </w:r>
      <w:r>
        <w:rPr>
          <w:rFonts w:hint="eastAsia" w:ascii="Times New Roman" w:hAnsi="Times New Roman" w:eastAsia="仿宋_GB2312"/>
          <w:b w:val="0"/>
          <w:bCs/>
        </w:rPr>
        <w:t>”</w:t>
      </w:r>
      <w:r>
        <w:rPr>
          <w:rFonts w:ascii="Times New Roman" w:hAnsi="Times New Roman" w:eastAsia="仿宋_GB2312"/>
          <w:b w:val="0"/>
          <w:bCs/>
        </w:rPr>
        <w:t>智能感知系统。在锦溪白莲湖峰飞无人机试飞基地建成首批2套气象监测设备，为低空经济发展夯实观测基础。针对部分探测环境恶化站点完成迁站工作，常态化开展站点巡检，基础观测质量达99.67%。</w:t>
      </w:r>
    </w:p>
    <w:p w14:paraId="4E7D98A0">
      <w:pPr>
        <w:adjustRightInd w:val="0"/>
        <w:snapToGrid w:val="0"/>
        <w:spacing w:line="560" w:lineRule="exact"/>
        <w:ind w:firstLine="641"/>
        <w:jc w:val="both"/>
        <w:rPr>
          <w:rFonts w:ascii="Times New Roman" w:hAnsi="Times New Roman" w:eastAsia="仿宋_GB2312"/>
        </w:rPr>
      </w:pPr>
      <w:r>
        <w:rPr>
          <w:rFonts w:ascii="Times New Roman" w:hAnsi="Times New Roman" w:eastAsia="仿宋_GB2312"/>
        </w:rPr>
        <w:t>7.健全全民参与机制，社会共治日益完善</w:t>
      </w:r>
    </w:p>
    <w:p w14:paraId="69D6A31C">
      <w:pPr>
        <w:adjustRightInd w:val="0"/>
        <w:snapToGrid w:val="0"/>
        <w:spacing w:line="560" w:lineRule="exact"/>
        <w:ind w:firstLine="640"/>
        <w:jc w:val="both"/>
        <w:rPr>
          <w:rFonts w:ascii="Times New Roman" w:hAnsi="Times New Roman" w:eastAsia="仿宋_GB2312"/>
          <w:b w:val="0"/>
          <w:bCs/>
        </w:rPr>
      </w:pPr>
      <w:r>
        <w:rPr>
          <w:rFonts w:ascii="Times New Roman" w:hAnsi="Times New Roman" w:eastAsia="仿宋_GB2312"/>
          <w:b w:val="0"/>
          <w:bCs/>
        </w:rPr>
        <w:t>实施全民应急素养提升工程，出台公众安全教育三年提升实施方案，全域建成区镇安全学校、企业教学点、安全主题场馆等宣教阵地，培育安全宣传</w:t>
      </w:r>
      <w:r>
        <w:rPr>
          <w:rFonts w:hint="eastAsia" w:ascii="Times New Roman" w:hAnsi="Times New Roman" w:eastAsia="仿宋_GB2312"/>
          <w:b w:val="0"/>
          <w:bCs/>
        </w:rPr>
        <w:t>“</w:t>
      </w:r>
      <w:r>
        <w:rPr>
          <w:rFonts w:ascii="Times New Roman" w:hAnsi="Times New Roman" w:eastAsia="仿宋_GB2312"/>
          <w:b w:val="0"/>
          <w:bCs/>
        </w:rPr>
        <w:t>五进</w:t>
      </w:r>
      <w:r>
        <w:rPr>
          <w:rFonts w:hint="eastAsia" w:ascii="Times New Roman" w:hAnsi="Times New Roman" w:eastAsia="仿宋_GB2312"/>
          <w:b w:val="0"/>
          <w:bCs/>
        </w:rPr>
        <w:t>”</w:t>
      </w:r>
      <w:r>
        <w:rPr>
          <w:rFonts w:ascii="Times New Roman" w:hAnsi="Times New Roman" w:eastAsia="仿宋_GB2312"/>
          <w:b w:val="0"/>
          <w:bCs/>
        </w:rPr>
        <w:t>示范点与示范企业。依托微信新媒体搭建宣传矩阵，结合安全生产月、防灾减灾宣传周，开展直播访谈、现场咨询、线上答题等特色宣教活动，持续提升群众安全防范意识。新建1200平米安全生产考试点，获评全省唯一县级示范考试点，开展</w:t>
      </w:r>
      <w:r>
        <w:rPr>
          <w:rFonts w:hint="eastAsia" w:ascii="Times New Roman" w:hAnsi="Times New Roman" w:eastAsia="仿宋_GB2312"/>
          <w:b w:val="0"/>
          <w:bCs/>
        </w:rPr>
        <w:t>“</w:t>
      </w:r>
      <w:r>
        <w:rPr>
          <w:rFonts w:ascii="Times New Roman" w:hAnsi="Times New Roman" w:eastAsia="仿宋_GB2312"/>
          <w:b w:val="0"/>
          <w:bCs/>
        </w:rPr>
        <w:t>百团进百万企业千万员工</w:t>
      </w:r>
      <w:r>
        <w:rPr>
          <w:rFonts w:hint="eastAsia" w:ascii="Times New Roman" w:hAnsi="Times New Roman" w:eastAsia="仿宋_GB2312"/>
          <w:b w:val="0"/>
          <w:bCs/>
        </w:rPr>
        <w:t>”“</w:t>
      </w:r>
      <w:r>
        <w:rPr>
          <w:rFonts w:ascii="Times New Roman" w:hAnsi="Times New Roman" w:eastAsia="仿宋_GB2312"/>
          <w:b w:val="0"/>
          <w:bCs/>
        </w:rPr>
        <w:t>应急科普志愿行</w:t>
      </w:r>
      <w:r>
        <w:rPr>
          <w:rFonts w:hint="eastAsia" w:ascii="Times New Roman" w:hAnsi="Times New Roman" w:eastAsia="仿宋_GB2312"/>
          <w:b w:val="0"/>
          <w:bCs/>
        </w:rPr>
        <w:t>”</w:t>
      </w:r>
      <w:r>
        <w:rPr>
          <w:rFonts w:ascii="Times New Roman" w:hAnsi="Times New Roman" w:eastAsia="仿宋_GB2312"/>
          <w:b w:val="0"/>
          <w:bCs/>
        </w:rPr>
        <w:t>宣讲，营造</w:t>
      </w:r>
      <w:r>
        <w:rPr>
          <w:rFonts w:hint="eastAsia" w:ascii="Times New Roman" w:hAnsi="Times New Roman" w:eastAsia="仿宋_GB2312"/>
          <w:b w:val="0"/>
          <w:bCs/>
        </w:rPr>
        <w:t>“</w:t>
      </w:r>
      <w:r>
        <w:rPr>
          <w:rFonts w:ascii="Times New Roman" w:hAnsi="Times New Roman" w:eastAsia="仿宋_GB2312"/>
          <w:b w:val="0"/>
          <w:bCs/>
        </w:rPr>
        <w:t>人人讲安全、个个会应急</w:t>
      </w:r>
      <w:r>
        <w:rPr>
          <w:rFonts w:hint="eastAsia" w:ascii="Times New Roman" w:hAnsi="Times New Roman" w:eastAsia="仿宋_GB2312"/>
          <w:b w:val="0"/>
          <w:bCs/>
        </w:rPr>
        <w:t>”</w:t>
      </w:r>
      <w:r>
        <w:rPr>
          <w:rFonts w:ascii="Times New Roman" w:hAnsi="Times New Roman" w:eastAsia="仿宋_GB2312"/>
          <w:b w:val="0"/>
          <w:bCs/>
        </w:rPr>
        <w:t>安全氛围，全民安全意识明显提升。</w:t>
      </w:r>
    </w:p>
    <w:p w14:paraId="514762FB">
      <w:pPr>
        <w:adjustRightInd w:val="0"/>
        <w:snapToGrid w:val="0"/>
        <w:spacing w:line="560" w:lineRule="exact"/>
        <w:ind w:firstLine="640"/>
        <w:jc w:val="both"/>
        <w:rPr>
          <w:rFonts w:ascii="Times New Roman" w:hAnsi="Times New Roman" w:eastAsia="仿宋_GB2312"/>
          <w:b w:val="0"/>
          <w:bCs/>
        </w:rPr>
      </w:pPr>
      <w:r>
        <w:rPr>
          <w:rFonts w:ascii="Times New Roman" w:hAnsi="Times New Roman" w:eastAsia="仿宋_GB2312"/>
          <w:b w:val="0"/>
          <w:bCs/>
        </w:rPr>
        <w:t>从严规范第三方安全技术服务机构，开展安全评价报告专项核查、问题机构复查，依法处置违规主体，落实诚信告知承诺制度。修订应急安全专家库管理办法，健全专家选用管理机制，夯实专业技术支撑。同步完善安全生产信用监管体系，多部门常态化开展企业信用核查，落实依法失信惩戒。统筹协会、中介、专家、企业、群众各类主体，搭建多方联动、共建共享的安全生产社会化共治共享体系。</w:t>
      </w:r>
    </w:p>
    <w:p w14:paraId="62FD9596">
      <w:pPr>
        <w:adjustRightInd w:val="0"/>
        <w:snapToGrid w:val="0"/>
        <w:spacing w:line="560" w:lineRule="exact"/>
        <w:ind w:firstLine="640"/>
        <w:jc w:val="both"/>
        <w:rPr>
          <w:rFonts w:ascii="Times New Roman" w:hAnsi="Times New Roman" w:eastAsia="仿宋_GB2312"/>
          <w:b w:val="0"/>
          <w:bCs/>
        </w:rPr>
      </w:pPr>
      <w:r>
        <w:rPr>
          <w:rFonts w:ascii="Times New Roman" w:hAnsi="Times New Roman" w:eastAsia="仿宋_GB2312"/>
          <w:b w:val="0"/>
          <w:bCs/>
        </w:rPr>
        <w:t>尽管</w:t>
      </w:r>
      <w:r>
        <w:rPr>
          <w:rFonts w:hint="eastAsia" w:ascii="Times New Roman" w:hAnsi="Times New Roman" w:eastAsia="仿宋_GB2312"/>
          <w:b w:val="0"/>
          <w:bCs/>
        </w:rPr>
        <w:t>“</w:t>
      </w:r>
      <w:r>
        <w:rPr>
          <w:rFonts w:ascii="Times New Roman" w:hAnsi="Times New Roman" w:eastAsia="仿宋_GB2312"/>
          <w:b w:val="0"/>
          <w:bCs/>
        </w:rPr>
        <w:t>十四五</w:t>
      </w:r>
      <w:r>
        <w:rPr>
          <w:rFonts w:hint="eastAsia" w:ascii="Times New Roman" w:hAnsi="Times New Roman" w:eastAsia="仿宋_GB2312"/>
          <w:b w:val="0"/>
          <w:bCs/>
        </w:rPr>
        <w:t>”</w:t>
      </w:r>
      <w:r>
        <w:rPr>
          <w:rFonts w:ascii="Times New Roman" w:hAnsi="Times New Roman" w:eastAsia="仿宋_GB2312"/>
          <w:b w:val="0"/>
          <w:bCs/>
        </w:rPr>
        <w:t>期间取得显著成效，但对照应急管理体系和能力现代化要求，结合昆山市实际，仍存在一些短板和薄弱环节：一是源头防控体系不够健全，部分中小企业安全投入不足，管理松散，教育培训流于形式，违章作业多发；二是基层监管能力亟待加强，安全生产和消防</w:t>
      </w:r>
      <w:r>
        <w:rPr>
          <w:rFonts w:hint="eastAsia" w:ascii="Times New Roman" w:hAnsi="Times New Roman" w:eastAsia="仿宋_GB2312"/>
          <w:b w:val="0"/>
          <w:bCs/>
        </w:rPr>
        <w:t>“</w:t>
      </w:r>
      <w:r>
        <w:rPr>
          <w:rFonts w:ascii="Times New Roman" w:hAnsi="Times New Roman" w:eastAsia="仿宋_GB2312"/>
          <w:b w:val="0"/>
          <w:bCs/>
        </w:rPr>
        <w:t>五位一体</w:t>
      </w:r>
      <w:r>
        <w:rPr>
          <w:rFonts w:hint="eastAsia" w:ascii="Times New Roman" w:hAnsi="Times New Roman" w:eastAsia="仿宋_GB2312"/>
          <w:b w:val="0"/>
          <w:bCs/>
        </w:rPr>
        <w:t>”</w:t>
      </w:r>
      <w:r>
        <w:rPr>
          <w:rFonts w:ascii="Times New Roman" w:hAnsi="Times New Roman" w:eastAsia="仿宋_GB2312"/>
          <w:b w:val="0"/>
          <w:bCs/>
        </w:rPr>
        <w:t>工作体系还未融合见效，安全生产巡查员发现异常问题的能力水平有待提高；三是科技赋能深度广度不足，部门间数据壁垒依然存在，企业数字化改造不均，中小型企业及高危领域智能监测覆盖率低；四是跨部门联动机制不畅，应急预案针对性、可操作性有待进一步提升；五是社会协同共治氛围不浓，公众安全意识与自救互救能力整体偏弱。</w:t>
      </w:r>
    </w:p>
    <w:p w14:paraId="692957E2">
      <w:pPr>
        <w:pStyle w:val="3"/>
        <w:adjustRightInd w:val="0"/>
        <w:snapToGrid w:val="0"/>
        <w:spacing w:before="0" w:after="0" w:line="560" w:lineRule="exact"/>
        <w:ind w:firstLine="640"/>
        <w:jc w:val="both"/>
        <w:rPr>
          <w:rFonts w:ascii="Times New Roman" w:hAnsi="Times New Roman" w:eastAsia="楷体_GB2312" w:cs="Times New Roman"/>
        </w:rPr>
      </w:pPr>
      <w:bookmarkStart w:id="8" w:name="_Toc18279"/>
      <w:r>
        <w:rPr>
          <w:rFonts w:ascii="Times New Roman" w:hAnsi="Times New Roman" w:eastAsia="楷体_GB2312" w:cs="Times New Roman"/>
        </w:rPr>
        <w:t>（二）</w:t>
      </w:r>
      <w:r>
        <w:rPr>
          <w:rFonts w:hint="eastAsia" w:ascii="Times New Roman" w:hAnsi="Times New Roman" w:eastAsia="楷体_GB2312" w:cs="Times New Roman"/>
        </w:rPr>
        <w:t>“</w:t>
      </w:r>
      <w:r>
        <w:rPr>
          <w:rFonts w:ascii="Times New Roman" w:hAnsi="Times New Roman" w:eastAsia="楷体_GB2312" w:cs="Times New Roman"/>
        </w:rPr>
        <w:t>十五五</w:t>
      </w:r>
      <w:r>
        <w:rPr>
          <w:rFonts w:hint="eastAsia" w:ascii="Times New Roman" w:hAnsi="Times New Roman" w:eastAsia="楷体_GB2312" w:cs="Times New Roman"/>
        </w:rPr>
        <w:t>”</w:t>
      </w:r>
      <w:r>
        <w:rPr>
          <w:rFonts w:ascii="Times New Roman" w:hAnsi="Times New Roman" w:eastAsia="楷体_GB2312" w:cs="Times New Roman"/>
        </w:rPr>
        <w:t>发展面临的挑战</w:t>
      </w:r>
      <w:bookmarkEnd w:id="8"/>
    </w:p>
    <w:p w14:paraId="6C01CAE8">
      <w:pPr>
        <w:adjustRightInd w:val="0"/>
        <w:snapToGrid w:val="0"/>
        <w:spacing w:line="560" w:lineRule="exact"/>
        <w:ind w:firstLine="640"/>
        <w:jc w:val="both"/>
        <w:rPr>
          <w:rFonts w:ascii="Times New Roman" w:hAnsi="Times New Roman" w:eastAsia="仿宋_GB2312"/>
          <w:b w:val="0"/>
          <w:bCs/>
        </w:rPr>
      </w:pPr>
      <w:r>
        <w:rPr>
          <w:rFonts w:hint="eastAsia" w:ascii="Times New Roman" w:hAnsi="Times New Roman" w:eastAsia="仿宋_GB2312"/>
          <w:b w:val="0"/>
          <w:bCs/>
        </w:rPr>
        <w:t>“</w:t>
      </w:r>
      <w:r>
        <w:rPr>
          <w:rFonts w:ascii="Times New Roman" w:hAnsi="Times New Roman" w:eastAsia="仿宋_GB2312"/>
          <w:b w:val="0"/>
          <w:bCs/>
        </w:rPr>
        <w:t>十五五</w:t>
      </w:r>
      <w:r>
        <w:rPr>
          <w:rFonts w:hint="eastAsia" w:ascii="Times New Roman" w:hAnsi="Times New Roman" w:eastAsia="仿宋_GB2312"/>
          <w:b w:val="0"/>
          <w:bCs/>
        </w:rPr>
        <w:t>”</w:t>
      </w:r>
      <w:r>
        <w:rPr>
          <w:rFonts w:ascii="Times New Roman" w:hAnsi="Times New Roman" w:eastAsia="仿宋_GB2312"/>
          <w:b w:val="0"/>
          <w:bCs/>
        </w:rPr>
        <w:t>时期是昆山市应急管理领域机构改革后的第二个五年规划期，也是昆山市打造现代化建设标杆城市的关键阶段，应急管理工作面临多重风险挑战，安全治理难度持续加大。从风险呈现交织叠加的复杂态势来看。昆山市作为全国百强县市首位，经济发达、产业密集，工业集中区与城市建成区空间交错，源头性布局问题尚未根本解决。自然灾害方面，暴雨、高温、台风等极端天气事件频发，受下游外江潮位顶托与边界工程控制影响，涝水外排受阻等问题凸显，防洪排涝压力突出。生产安全方面，化工、工贸企业集中，</w:t>
      </w:r>
      <w:r>
        <w:rPr>
          <w:rFonts w:hint="eastAsia" w:ascii="Times New Roman" w:hAnsi="Times New Roman" w:eastAsia="仿宋_GB2312"/>
          <w:b w:val="0"/>
          <w:bCs/>
        </w:rPr>
        <w:t>“</w:t>
      </w:r>
      <w:r>
        <w:rPr>
          <w:rFonts w:ascii="Times New Roman" w:hAnsi="Times New Roman" w:eastAsia="仿宋_GB2312"/>
          <w:b w:val="0"/>
          <w:bCs/>
        </w:rPr>
        <w:t>厂中厂</w:t>
      </w:r>
      <w:r>
        <w:rPr>
          <w:rFonts w:hint="eastAsia" w:ascii="Times New Roman" w:hAnsi="Times New Roman" w:eastAsia="仿宋_GB2312"/>
          <w:b w:val="0"/>
          <w:bCs/>
        </w:rPr>
        <w:t>”“</w:t>
      </w:r>
      <w:r>
        <w:rPr>
          <w:rFonts w:ascii="Times New Roman" w:hAnsi="Times New Roman" w:eastAsia="仿宋_GB2312"/>
          <w:b w:val="0"/>
          <w:bCs/>
        </w:rPr>
        <w:t>九小场所</w:t>
      </w:r>
      <w:r>
        <w:rPr>
          <w:rFonts w:hint="eastAsia" w:ascii="Times New Roman" w:hAnsi="Times New Roman" w:eastAsia="仿宋_GB2312"/>
          <w:b w:val="0"/>
          <w:bCs/>
        </w:rPr>
        <w:t>”</w:t>
      </w:r>
      <w:r>
        <w:rPr>
          <w:rFonts w:ascii="Times New Roman" w:hAnsi="Times New Roman" w:eastAsia="仿宋_GB2312"/>
          <w:b w:val="0"/>
          <w:bCs/>
        </w:rPr>
        <w:t>分布广泛，危化品、粉尘涉爆等传统风险存量未清，化工（危化品）企业老旧装置亟待更新改造或检测维保；光伏安装、水上游览活动、小型（临时）工程等风险不断涌现，低空载人、自动驾驶、锂电池等新业态安全监管机制尚不健全，</w:t>
      </w:r>
      <w:r>
        <w:rPr>
          <w:rFonts w:hint="eastAsia" w:ascii="Times New Roman" w:hAnsi="Times New Roman" w:eastAsia="仿宋_GB2312"/>
          <w:b w:val="0"/>
          <w:bCs/>
        </w:rPr>
        <w:t>“</w:t>
      </w:r>
      <w:r>
        <w:rPr>
          <w:rFonts w:ascii="Times New Roman" w:hAnsi="Times New Roman" w:eastAsia="仿宋_GB2312"/>
          <w:b w:val="0"/>
          <w:bCs/>
        </w:rPr>
        <w:t>想不到</w:t>
      </w:r>
      <w:r>
        <w:rPr>
          <w:rFonts w:hint="eastAsia" w:ascii="Times New Roman" w:hAnsi="Times New Roman" w:eastAsia="仿宋_GB2312"/>
          <w:b w:val="0"/>
          <w:bCs/>
        </w:rPr>
        <w:t>”“</w:t>
      </w:r>
      <w:r>
        <w:rPr>
          <w:rFonts w:ascii="Times New Roman" w:hAnsi="Times New Roman" w:eastAsia="仿宋_GB2312"/>
          <w:b w:val="0"/>
          <w:bCs/>
        </w:rPr>
        <w:t>管不到</w:t>
      </w:r>
      <w:r>
        <w:rPr>
          <w:rFonts w:hint="eastAsia" w:ascii="Times New Roman" w:hAnsi="Times New Roman" w:eastAsia="仿宋_GB2312"/>
          <w:b w:val="0"/>
          <w:bCs/>
        </w:rPr>
        <w:t>”</w:t>
      </w:r>
      <w:r>
        <w:rPr>
          <w:rFonts w:ascii="Times New Roman" w:hAnsi="Times New Roman" w:eastAsia="仿宋_GB2312"/>
          <w:b w:val="0"/>
          <w:bCs/>
        </w:rPr>
        <w:t>的风险隐患依然存在。风险辨识与防控难度显著增大。城市安全方面，受老城区管网老化、道路狭窄以及城市设施更新建设过程等影响，城市内涝点仍然动态存在；农村道路桥梁抗灾能力弱，部分危桥隐患未根除；高层建筑消防设施老化、消防通道堵塞等问题依然存在。从治理体系存在的短板弱项来看。基层监管能力较为薄弱，区镇应急管理人员编制紧、专业水平有限，巡查员队伍、激励不足、流动性大，应对复杂事故的能力不足，</w:t>
      </w:r>
      <w:r>
        <w:rPr>
          <w:rFonts w:hint="eastAsia" w:ascii="Times New Roman" w:hAnsi="Times New Roman" w:eastAsia="仿宋_GB2312"/>
          <w:b w:val="0"/>
          <w:bCs/>
        </w:rPr>
        <w:t>“</w:t>
      </w:r>
      <w:r>
        <w:rPr>
          <w:rFonts w:ascii="Times New Roman" w:hAnsi="Times New Roman" w:eastAsia="仿宋_GB2312"/>
          <w:b w:val="0"/>
          <w:bCs/>
        </w:rPr>
        <w:t>最后一公里</w:t>
      </w:r>
      <w:r>
        <w:rPr>
          <w:rFonts w:hint="eastAsia" w:ascii="Times New Roman" w:hAnsi="Times New Roman" w:eastAsia="仿宋_GB2312"/>
          <w:b w:val="0"/>
          <w:bCs/>
        </w:rPr>
        <w:t>”</w:t>
      </w:r>
      <w:r>
        <w:rPr>
          <w:rFonts w:ascii="Times New Roman" w:hAnsi="Times New Roman" w:eastAsia="仿宋_GB2312"/>
          <w:b w:val="0"/>
          <w:bCs/>
        </w:rPr>
        <w:t>落实仍存</w:t>
      </w:r>
      <w:r>
        <w:rPr>
          <w:rFonts w:hint="eastAsia" w:ascii="Times New Roman" w:hAnsi="Times New Roman" w:eastAsia="仿宋_GB2312"/>
          <w:b w:val="0"/>
          <w:bCs/>
        </w:rPr>
        <w:t>在</w:t>
      </w:r>
      <w:r>
        <w:rPr>
          <w:rFonts w:ascii="Times New Roman" w:hAnsi="Times New Roman" w:eastAsia="仿宋_GB2312"/>
          <w:b w:val="0"/>
          <w:bCs/>
        </w:rPr>
        <w:t>漏洞。企业本质安全水平参差不齐，部分中小企业安全投入不足，设备老旧，自动化程度低，管理人才短缺，制度执行不到位，员工违章作业现象时有发生；受经济下行压力影响，企业订单不稳定、生产开开停停，员工流动频繁，劳务派遣用工占比上升，自主技改提升意愿弱化，工艺、设备、人员培训等安全管理难以跟上生产节奏。应急协同效能有待提升，部门、区域、政企之间联动机制不畅，信息共享和资源调配效率不高；应急预案实用性不强，演练偏形式化，整体应对复合型灾害的能力亟待加强。从发展环境带来新的压力来看。近年来，昆山积极对接上海大都市圈空间协同规划，深度融入虹桥国际开放枢纽北向拓展带建设，协同推进上海（长三角）国际科技创新中心、长三角G60科创走廊、嘉昆太协同创新核心圈建设，人口增长和社会复杂度提升，交通流量持续扩大，机动车、电动自行车及驾驶人保有量持续增长，</w:t>
      </w:r>
      <w:r>
        <w:rPr>
          <w:rFonts w:hint="eastAsia" w:ascii="Times New Roman" w:hAnsi="Times New Roman" w:eastAsia="仿宋_GB2312"/>
          <w:b w:val="0"/>
          <w:bCs/>
        </w:rPr>
        <w:t>“</w:t>
      </w:r>
      <w:r>
        <w:rPr>
          <w:rFonts w:ascii="Times New Roman" w:hAnsi="Times New Roman" w:eastAsia="仿宋_GB2312"/>
          <w:b w:val="0"/>
          <w:bCs/>
        </w:rPr>
        <w:t>超县域</w:t>
      </w:r>
      <w:r>
        <w:rPr>
          <w:rFonts w:hint="eastAsia" w:ascii="Times New Roman" w:hAnsi="Times New Roman" w:eastAsia="仿宋_GB2312"/>
          <w:b w:val="0"/>
          <w:bCs/>
        </w:rPr>
        <w:t>”</w:t>
      </w:r>
      <w:r>
        <w:rPr>
          <w:rFonts w:ascii="Times New Roman" w:hAnsi="Times New Roman" w:eastAsia="仿宋_GB2312"/>
          <w:b w:val="0"/>
          <w:bCs/>
        </w:rPr>
        <w:t>交管体量使得源头监管和路面秩序管控难度显著加大。大型文体活动更加频繁，交通分流、停车诱导等安保工作压力与日俱增；快速路里程稳步增长，行车速度快、分心驾驶、行人闯入等易引发交通事故，二次事故风险防控压力加大。社会公众对生命财产安全的重视程度日益提升，任何一起火灾或突发事件都可能引起社会广泛关注，对安全治理的精准性、时效性、透明度提出更高要求。</w:t>
      </w:r>
    </w:p>
    <w:p w14:paraId="5B605934">
      <w:pPr>
        <w:pStyle w:val="3"/>
        <w:adjustRightInd w:val="0"/>
        <w:snapToGrid w:val="0"/>
        <w:spacing w:before="0" w:after="0" w:line="560" w:lineRule="exact"/>
        <w:ind w:firstLine="640"/>
        <w:jc w:val="both"/>
        <w:rPr>
          <w:rFonts w:ascii="Times New Roman" w:hAnsi="Times New Roman" w:eastAsia="楷体_GB2312" w:cs="Times New Roman"/>
        </w:rPr>
      </w:pPr>
      <w:bookmarkStart w:id="9" w:name="_Toc24269"/>
      <w:r>
        <w:rPr>
          <w:rFonts w:ascii="Times New Roman" w:hAnsi="Times New Roman" w:eastAsia="楷体_GB2312" w:cs="Times New Roman"/>
        </w:rPr>
        <w:t>（三）</w:t>
      </w:r>
      <w:r>
        <w:rPr>
          <w:rFonts w:hint="eastAsia" w:ascii="Times New Roman" w:hAnsi="Times New Roman" w:eastAsia="楷体_GB2312" w:cs="Times New Roman"/>
        </w:rPr>
        <w:t>“</w:t>
      </w:r>
      <w:r>
        <w:rPr>
          <w:rFonts w:ascii="Times New Roman" w:hAnsi="Times New Roman" w:eastAsia="楷体_GB2312" w:cs="Times New Roman"/>
        </w:rPr>
        <w:t>十五五</w:t>
      </w:r>
      <w:r>
        <w:rPr>
          <w:rFonts w:hint="eastAsia" w:ascii="Times New Roman" w:hAnsi="Times New Roman" w:eastAsia="楷体_GB2312" w:cs="Times New Roman"/>
        </w:rPr>
        <w:t>”</w:t>
      </w:r>
      <w:r>
        <w:rPr>
          <w:rFonts w:ascii="Times New Roman" w:hAnsi="Times New Roman" w:eastAsia="楷体_GB2312" w:cs="Times New Roman"/>
        </w:rPr>
        <w:t>发展面临的机遇</w:t>
      </w:r>
      <w:bookmarkEnd w:id="9"/>
    </w:p>
    <w:p w14:paraId="45684965">
      <w:pPr>
        <w:adjustRightInd w:val="0"/>
        <w:snapToGrid w:val="0"/>
        <w:spacing w:line="560" w:lineRule="exact"/>
        <w:ind w:firstLine="640"/>
        <w:jc w:val="both"/>
        <w:rPr>
          <w:rFonts w:ascii="Times New Roman" w:hAnsi="Times New Roman" w:eastAsia="仿宋_GB2312"/>
          <w:b w:val="0"/>
          <w:bCs/>
        </w:rPr>
      </w:pPr>
      <w:r>
        <w:rPr>
          <w:rFonts w:ascii="Times New Roman" w:hAnsi="Times New Roman" w:eastAsia="仿宋_GB2312"/>
          <w:b w:val="0"/>
          <w:bCs/>
        </w:rPr>
        <w:t>尽管</w:t>
      </w:r>
      <w:r>
        <w:rPr>
          <w:rFonts w:hint="eastAsia" w:ascii="Times New Roman" w:hAnsi="Times New Roman" w:eastAsia="仿宋_GB2312"/>
          <w:b w:val="0"/>
          <w:bCs/>
        </w:rPr>
        <w:t>“</w:t>
      </w:r>
      <w:r>
        <w:rPr>
          <w:rFonts w:ascii="Times New Roman" w:hAnsi="Times New Roman" w:eastAsia="仿宋_GB2312"/>
          <w:b w:val="0"/>
          <w:bCs/>
        </w:rPr>
        <w:t>十五五</w:t>
      </w:r>
      <w:r>
        <w:rPr>
          <w:rFonts w:hint="eastAsia" w:ascii="Times New Roman" w:hAnsi="Times New Roman" w:eastAsia="仿宋_GB2312"/>
          <w:b w:val="0"/>
          <w:bCs/>
        </w:rPr>
        <w:t>”</w:t>
      </w:r>
      <w:r>
        <w:rPr>
          <w:rFonts w:ascii="Times New Roman" w:hAnsi="Times New Roman" w:eastAsia="仿宋_GB2312"/>
          <w:b w:val="0"/>
          <w:bCs/>
        </w:rPr>
        <w:t>期间昆山市应急管理工作直面风险交织与能力短板挑战，但在政策支撑、科技发展、区域协同等多重利好因素叠加下，迎来了前所未有的发展机遇，为应急管理体系和能力现代化提供了有利条件。一是政策红利持续释放。党的二十大明确提出</w:t>
      </w:r>
      <w:r>
        <w:rPr>
          <w:rFonts w:hint="eastAsia" w:ascii="Times New Roman" w:hAnsi="Times New Roman" w:eastAsia="仿宋_GB2312"/>
          <w:b w:val="0"/>
          <w:bCs/>
        </w:rPr>
        <w:t>“</w:t>
      </w:r>
      <w:r>
        <w:rPr>
          <w:rFonts w:ascii="Times New Roman" w:hAnsi="Times New Roman" w:eastAsia="仿宋_GB2312"/>
          <w:b w:val="0"/>
          <w:bCs/>
        </w:rPr>
        <w:t>建立大安全大应急框架，完善公共安全体系，推动公共安全治理模式向事前预防转型</w:t>
      </w:r>
      <w:r>
        <w:rPr>
          <w:rFonts w:hint="eastAsia" w:ascii="Times New Roman" w:hAnsi="Times New Roman" w:eastAsia="仿宋_GB2312"/>
          <w:b w:val="0"/>
          <w:bCs/>
        </w:rPr>
        <w:t>”</w:t>
      </w:r>
      <w:r>
        <w:rPr>
          <w:rFonts w:ascii="Times New Roman" w:hAnsi="Times New Roman" w:eastAsia="仿宋_GB2312"/>
          <w:b w:val="0"/>
          <w:bCs/>
        </w:rPr>
        <w:t>，中央办公厅、国务院办公厅印发《关于进一步提升基层应急管理能力的意见》，国务院印发了《现代化应急体系建设</w:t>
      </w:r>
      <w:r>
        <w:rPr>
          <w:rFonts w:hint="eastAsia" w:ascii="Times New Roman" w:hAnsi="Times New Roman" w:eastAsia="仿宋_GB2312"/>
          <w:b w:val="0"/>
          <w:bCs/>
        </w:rPr>
        <w:t>“</w:t>
      </w:r>
      <w:r>
        <w:rPr>
          <w:rFonts w:ascii="Times New Roman" w:hAnsi="Times New Roman" w:eastAsia="仿宋_GB2312"/>
          <w:b w:val="0"/>
          <w:bCs/>
        </w:rPr>
        <w:t>十五五</w:t>
      </w:r>
      <w:r>
        <w:rPr>
          <w:rFonts w:hint="eastAsia" w:ascii="Times New Roman" w:hAnsi="Times New Roman" w:eastAsia="仿宋_GB2312"/>
          <w:b w:val="0"/>
          <w:bCs/>
        </w:rPr>
        <w:t>”</w:t>
      </w:r>
      <w:r>
        <w:rPr>
          <w:rFonts w:ascii="Times New Roman" w:hAnsi="Times New Roman" w:eastAsia="仿宋_GB2312"/>
          <w:b w:val="0"/>
          <w:bCs/>
        </w:rPr>
        <w:t>规划》，省安委会印发《关于推进安全生产</w:t>
      </w:r>
      <w:r>
        <w:rPr>
          <w:rFonts w:hint="eastAsia" w:ascii="Times New Roman" w:hAnsi="Times New Roman" w:eastAsia="仿宋_GB2312"/>
          <w:b w:val="0"/>
          <w:bCs/>
        </w:rPr>
        <w:t>“</w:t>
      </w:r>
      <w:r>
        <w:rPr>
          <w:rFonts w:ascii="Times New Roman" w:hAnsi="Times New Roman" w:eastAsia="仿宋_GB2312"/>
          <w:b w:val="0"/>
          <w:bCs/>
        </w:rPr>
        <w:t>六化</w:t>
      </w:r>
      <w:r>
        <w:rPr>
          <w:rFonts w:hint="eastAsia" w:ascii="Times New Roman" w:hAnsi="Times New Roman" w:eastAsia="仿宋_GB2312"/>
          <w:b w:val="0"/>
          <w:bCs/>
        </w:rPr>
        <w:t>”</w:t>
      </w:r>
      <w:r>
        <w:rPr>
          <w:rFonts w:ascii="Times New Roman" w:hAnsi="Times New Roman" w:eastAsia="仿宋_GB2312"/>
          <w:b w:val="0"/>
          <w:bCs/>
        </w:rPr>
        <w:t>建设的实施方案</w:t>
      </w:r>
      <w:r>
        <w:rPr>
          <w:rFonts w:hint="eastAsia" w:ascii="Times New Roman" w:hAnsi="Times New Roman" w:eastAsia="仿宋_GB2312"/>
          <w:b w:val="0"/>
          <w:bCs/>
        </w:rPr>
        <w:t>（</w:t>
      </w:r>
      <w:r>
        <w:rPr>
          <w:rFonts w:ascii="Times New Roman" w:hAnsi="Times New Roman" w:eastAsia="仿宋_GB2312"/>
          <w:b w:val="0"/>
          <w:bCs/>
        </w:rPr>
        <w:t>试行</w:t>
      </w:r>
      <w:r>
        <w:rPr>
          <w:rFonts w:hint="eastAsia" w:ascii="Times New Roman" w:hAnsi="Times New Roman" w:eastAsia="仿宋_GB2312"/>
          <w:b w:val="0"/>
          <w:bCs/>
        </w:rPr>
        <w:t>）</w:t>
      </w:r>
      <w:r>
        <w:rPr>
          <w:rFonts w:ascii="Times New Roman" w:hAnsi="Times New Roman" w:eastAsia="仿宋_GB2312"/>
          <w:b w:val="0"/>
          <w:bCs/>
        </w:rPr>
        <w:t>》及《苏州市安全生产条例》的发布实施，为应急管理工作提供了根本遵循。江苏省、苏州市同步编制</w:t>
      </w:r>
      <w:r>
        <w:rPr>
          <w:rFonts w:hint="eastAsia" w:ascii="Times New Roman" w:hAnsi="Times New Roman" w:eastAsia="仿宋_GB2312"/>
          <w:b w:val="0"/>
          <w:bCs/>
        </w:rPr>
        <w:t>“</w:t>
      </w:r>
      <w:r>
        <w:rPr>
          <w:rFonts w:ascii="Times New Roman" w:hAnsi="Times New Roman" w:eastAsia="仿宋_GB2312"/>
          <w:b w:val="0"/>
          <w:bCs/>
        </w:rPr>
        <w:t>十五五</w:t>
      </w:r>
      <w:r>
        <w:rPr>
          <w:rFonts w:hint="eastAsia" w:ascii="Times New Roman" w:hAnsi="Times New Roman" w:eastAsia="仿宋_GB2312"/>
          <w:b w:val="0"/>
          <w:bCs/>
        </w:rPr>
        <w:t>”</w:t>
      </w:r>
      <w:r>
        <w:rPr>
          <w:rFonts w:ascii="Times New Roman" w:hAnsi="Times New Roman" w:eastAsia="仿宋_GB2312"/>
          <w:b w:val="0"/>
          <w:bCs/>
        </w:rPr>
        <w:t>应急管理规划，形成</w:t>
      </w:r>
      <w:r>
        <w:rPr>
          <w:rFonts w:hint="eastAsia" w:ascii="Times New Roman" w:hAnsi="Times New Roman" w:eastAsia="仿宋_GB2312"/>
          <w:b w:val="0"/>
          <w:bCs/>
        </w:rPr>
        <w:t>“</w:t>
      </w:r>
      <w:r>
        <w:rPr>
          <w:rFonts w:ascii="Times New Roman" w:hAnsi="Times New Roman" w:eastAsia="仿宋_GB2312"/>
          <w:b w:val="0"/>
          <w:bCs/>
        </w:rPr>
        <w:t>国家顶层设计—省级统筹—市级推进—县（区）级落实</w:t>
      </w:r>
      <w:r>
        <w:rPr>
          <w:rFonts w:hint="eastAsia" w:ascii="Times New Roman" w:hAnsi="Times New Roman" w:eastAsia="仿宋_GB2312"/>
          <w:b w:val="0"/>
          <w:bCs/>
        </w:rPr>
        <w:t>”</w:t>
      </w:r>
      <w:r>
        <w:rPr>
          <w:rFonts w:ascii="Times New Roman" w:hAnsi="Times New Roman" w:eastAsia="仿宋_GB2312"/>
          <w:b w:val="0"/>
          <w:bCs/>
        </w:rPr>
        <w:t>的完整政策体系，为昆山市争取项目、资金、技术支持创造了有利条件。昆山市立足自身发展实际，出台推进安全生产</w:t>
      </w:r>
      <w:r>
        <w:rPr>
          <w:rFonts w:hint="eastAsia" w:ascii="Times New Roman" w:hAnsi="Times New Roman" w:eastAsia="仿宋_GB2312"/>
          <w:b w:val="0"/>
          <w:bCs/>
        </w:rPr>
        <w:t>“</w:t>
      </w:r>
      <w:r>
        <w:rPr>
          <w:rFonts w:ascii="Times New Roman" w:hAnsi="Times New Roman" w:eastAsia="仿宋_GB2312"/>
          <w:b w:val="0"/>
          <w:bCs/>
        </w:rPr>
        <w:t>六化</w:t>
      </w:r>
      <w:r>
        <w:rPr>
          <w:rFonts w:hint="eastAsia" w:ascii="Times New Roman" w:hAnsi="Times New Roman" w:eastAsia="仿宋_GB2312"/>
          <w:b w:val="0"/>
          <w:bCs/>
        </w:rPr>
        <w:t>”</w:t>
      </w:r>
      <w:r>
        <w:rPr>
          <w:rFonts w:ascii="Times New Roman" w:hAnsi="Times New Roman" w:eastAsia="仿宋_GB2312"/>
          <w:b w:val="0"/>
          <w:bCs/>
        </w:rPr>
        <w:t>建设等一系列配套政策，构建了上下贯通、左右协同的政策落实机制，为规划实施提供了坚实制度保障。二是科技赋能潜力巨大。随着人工智能、物联网、大数据、数字孪生等技术的普及，风险监测预警、指挥调度、执法监管等环节的数字化、智能化升级空间广阔，为实现</w:t>
      </w:r>
      <w:r>
        <w:rPr>
          <w:rFonts w:hint="eastAsia" w:ascii="Times New Roman" w:hAnsi="Times New Roman" w:eastAsia="仿宋_GB2312"/>
          <w:b w:val="0"/>
          <w:bCs/>
        </w:rPr>
        <w:t>“</w:t>
      </w:r>
      <w:r>
        <w:rPr>
          <w:rFonts w:ascii="Times New Roman" w:hAnsi="Times New Roman" w:eastAsia="仿宋_GB2312"/>
          <w:b w:val="0"/>
          <w:bCs/>
        </w:rPr>
        <w:t>机械化换人、自动化减人、智能化无人</w:t>
      </w:r>
      <w:r>
        <w:rPr>
          <w:rFonts w:hint="eastAsia" w:ascii="Times New Roman" w:hAnsi="Times New Roman" w:eastAsia="仿宋_GB2312"/>
          <w:b w:val="0"/>
          <w:bCs/>
        </w:rPr>
        <w:t>”</w:t>
      </w:r>
      <w:r>
        <w:rPr>
          <w:rFonts w:ascii="Times New Roman" w:hAnsi="Times New Roman" w:eastAsia="仿宋_GB2312"/>
          <w:b w:val="0"/>
          <w:bCs/>
        </w:rPr>
        <w:t>提供了技术支撑。江苏省深入开展</w:t>
      </w:r>
      <w:r>
        <w:rPr>
          <w:rFonts w:hint="eastAsia" w:ascii="Times New Roman" w:hAnsi="Times New Roman" w:eastAsia="仿宋_GB2312"/>
          <w:b w:val="0"/>
          <w:bCs/>
        </w:rPr>
        <w:t>“</w:t>
      </w:r>
      <w:r>
        <w:rPr>
          <w:rFonts w:ascii="Times New Roman" w:hAnsi="Times New Roman" w:eastAsia="仿宋_GB2312"/>
          <w:b w:val="0"/>
          <w:bCs/>
        </w:rPr>
        <w:t>人工智能+</w:t>
      </w:r>
      <w:r>
        <w:rPr>
          <w:rFonts w:hint="eastAsia" w:ascii="Times New Roman" w:hAnsi="Times New Roman" w:eastAsia="仿宋_GB2312"/>
          <w:b w:val="0"/>
          <w:bCs/>
        </w:rPr>
        <w:t>”</w:t>
      </w:r>
      <w:r>
        <w:rPr>
          <w:rFonts w:ascii="Times New Roman" w:hAnsi="Times New Roman" w:eastAsia="仿宋_GB2312"/>
          <w:b w:val="0"/>
          <w:bCs/>
        </w:rPr>
        <w:t>应急管理行动，为昆山市深化科技赋能提供了实践路径；AI+无人机应用、智能监测设备等已在周边地区形成应用基础，为昆山推广智慧监管场景提供了成熟经验。</w:t>
      </w:r>
      <w:r>
        <w:rPr>
          <w:rFonts w:hint="eastAsia" w:ascii="Times New Roman" w:hAnsi="Times New Roman" w:eastAsia="仿宋_GB2312"/>
          <w:b w:val="0"/>
          <w:bCs/>
        </w:rPr>
        <w:t>“</w:t>
      </w:r>
      <w:r>
        <w:rPr>
          <w:rFonts w:ascii="Times New Roman" w:hAnsi="Times New Roman" w:eastAsia="仿宋_GB2312"/>
          <w:b w:val="0"/>
          <w:bCs/>
        </w:rPr>
        <w:t>应急365</w:t>
      </w:r>
      <w:r>
        <w:rPr>
          <w:rFonts w:hint="eastAsia" w:ascii="Times New Roman" w:hAnsi="Times New Roman" w:eastAsia="仿宋_GB2312"/>
          <w:b w:val="0"/>
          <w:bCs/>
        </w:rPr>
        <w:t>”</w:t>
      </w:r>
      <w:r>
        <w:rPr>
          <w:rFonts w:ascii="Times New Roman" w:hAnsi="Times New Roman" w:eastAsia="仿宋_GB2312"/>
          <w:b w:val="0"/>
          <w:bCs/>
        </w:rPr>
        <w:t>平台数字化基础设施日趋完善，为数字化转型奠定了坚实基础，发改委、科技局等部门推动科技项目支撑，向上推荐多个安全生产相关研发平台，推进企业联合大院大所开展核心技术攻关。三是安全需求日益迫切。随着昆山市经济社会高质量发展，人口增长和城市功能完善，公众对安全保障的需求更加迫切，对优质安全服务的期待持续提高，为推动应急管理工作提质增效、凝聚社会共治合力提供了良好社会基础。企业对本质安全提升的需求不断增强，主动引入先进技术、开展智能化改造的意愿逐步提升；公众安全意识不断增强，参与安全治理的积极性显著提高，为构建群防群治、社会共治格局提供了群众基础。全市各部门通过形式多样的安全教育、公益宣传，持续提升全民安全素养，为安全需求转化为发展动力创造条件。四是区域协同优势明显。昆山地处长三角核心区域，与上海市青浦区、苏州市吴江区等毗邻，随着长三角一体化发展战略深入推进，区域应急协同机制将进一步完善，为昆山市整合周边应急资源、补齐自身短板、提升全域安全治理水平提供了有利条件。</w:t>
      </w:r>
      <w:bookmarkStart w:id="10" w:name="OLE_LINK2"/>
      <w:r>
        <w:rPr>
          <w:rFonts w:ascii="Times New Roman" w:hAnsi="Times New Roman" w:eastAsia="仿宋_GB2312"/>
          <w:b w:val="0"/>
          <w:bCs/>
        </w:rPr>
        <w:t>昆山市</w:t>
      </w:r>
      <w:bookmarkEnd w:id="10"/>
      <w:r>
        <w:rPr>
          <w:rFonts w:hint="eastAsia" w:ascii="Times New Roman" w:hAnsi="Times New Roman" w:eastAsia="仿宋_GB2312"/>
          <w:b w:val="0"/>
          <w:bCs/>
        </w:rPr>
        <w:t>大力</w:t>
      </w:r>
      <w:r>
        <w:rPr>
          <w:rFonts w:hint="eastAsia" w:ascii="Calibri" w:hAnsi="Calibri" w:eastAsia="仿宋_GB2312" w:cs="Calibri"/>
          <w:b w:val="0"/>
          <w:bCs/>
        </w:rPr>
        <w:t>推进</w:t>
      </w:r>
      <w:r>
        <w:rPr>
          <w:rFonts w:hint="eastAsia" w:ascii="Times New Roman" w:hAnsi="Times New Roman" w:eastAsia="仿宋_GB2312"/>
          <w:b w:val="0"/>
          <w:bCs/>
        </w:rPr>
        <w:t>两岸合作重点平</w:t>
      </w:r>
      <w:r>
        <w:rPr>
          <w:rFonts w:hint="eastAsia"/>
          <w:b w:val="0"/>
          <w:bCs/>
        </w:rPr>
        <w:t>台和海</w:t>
      </w:r>
      <w:r>
        <w:rPr>
          <w:rFonts w:hint="eastAsia" w:cs="微软雅黑"/>
          <w:b w:val="0"/>
          <w:bCs/>
        </w:rPr>
        <w:t>峡</w:t>
      </w:r>
      <w:r>
        <w:rPr>
          <w:rFonts w:hint="eastAsia" w:cs="___WRD_EMBED_SUB_45"/>
          <w:b w:val="0"/>
          <w:bCs/>
        </w:rPr>
        <w:t>两岸产业合作区</w:t>
      </w:r>
      <w:r>
        <w:rPr>
          <w:rFonts w:hint="eastAsia"/>
          <w:b w:val="0"/>
          <w:bCs/>
        </w:rPr>
        <w:t>建设</w:t>
      </w:r>
      <w:r>
        <w:rPr>
          <w:rFonts w:ascii="Times New Roman" w:hAnsi="Times New Roman" w:eastAsia="仿宋_GB2312"/>
          <w:b w:val="0"/>
          <w:bCs/>
        </w:rPr>
        <w:t>，</w:t>
      </w:r>
      <w:r>
        <w:rPr>
          <w:rFonts w:hint="eastAsia" w:ascii="Times New Roman" w:hAnsi="Times New Roman" w:eastAsia="仿宋_GB2312"/>
          <w:b w:val="0"/>
          <w:bCs/>
        </w:rPr>
        <w:t>“</w:t>
      </w:r>
      <w:r>
        <w:rPr>
          <w:rFonts w:ascii="Times New Roman" w:hAnsi="Times New Roman" w:eastAsia="仿宋_GB2312"/>
          <w:b w:val="0"/>
          <w:bCs/>
        </w:rPr>
        <w:t>率先</w:t>
      </w:r>
      <w:r>
        <w:rPr>
          <w:rFonts w:hint="eastAsia" w:ascii="Times New Roman" w:hAnsi="Times New Roman" w:eastAsia="仿宋_GB2312"/>
          <w:b w:val="0"/>
          <w:bCs/>
        </w:rPr>
        <w:t>”</w:t>
      </w:r>
      <w:r>
        <w:rPr>
          <w:rFonts w:ascii="Times New Roman" w:hAnsi="Times New Roman" w:eastAsia="仿宋_GB2312"/>
          <w:b w:val="0"/>
          <w:bCs/>
        </w:rPr>
        <w:t>推动沪昆同城化，可充分借助长三角区域一体化高质量发展的科技、人才、产业优势，推动应急管理协同发展、优势互补。五是基础保障持续强化。昆山市经济社会持续高质量发展，为应急管理工作提供了坚实的财政支撑。</w:t>
      </w:r>
      <w:r>
        <w:rPr>
          <w:rFonts w:hint="eastAsia" w:ascii="Times New Roman" w:hAnsi="Times New Roman" w:eastAsia="仿宋_GB2312"/>
          <w:b w:val="0"/>
          <w:bCs/>
        </w:rPr>
        <w:t>“</w:t>
      </w:r>
      <w:r>
        <w:rPr>
          <w:rFonts w:ascii="Times New Roman" w:hAnsi="Times New Roman" w:eastAsia="仿宋_GB2312"/>
          <w:b w:val="0"/>
          <w:bCs/>
        </w:rPr>
        <w:t>十四五</w:t>
      </w:r>
      <w:r>
        <w:rPr>
          <w:rFonts w:hint="eastAsia" w:ascii="Times New Roman" w:hAnsi="Times New Roman" w:eastAsia="仿宋_GB2312"/>
          <w:b w:val="0"/>
          <w:bCs/>
        </w:rPr>
        <w:t>”</w:t>
      </w:r>
      <w:r>
        <w:rPr>
          <w:rFonts w:ascii="Times New Roman" w:hAnsi="Times New Roman" w:eastAsia="仿宋_GB2312"/>
          <w:b w:val="0"/>
          <w:bCs/>
        </w:rPr>
        <w:t>期间，全市统筹设立安全生产及应急救灾专项经费，覆盖风险隐患治理、专业救援装备配备、应急物资储备、智慧应急平台搭建、基层应急能力提升等重点领域；先后建成应急避难场所、消防战勤保障基地等一批关键基础设施。分行业分类完善配套保障：住建</w:t>
      </w:r>
      <w:bookmarkStart w:id="34" w:name="_GoBack"/>
      <w:bookmarkEnd w:id="34"/>
      <w:r>
        <w:rPr>
          <w:rFonts w:ascii="Times New Roman" w:hAnsi="Times New Roman" w:eastAsia="仿宋_GB2312"/>
          <w:b w:val="0"/>
          <w:bCs/>
        </w:rPr>
        <w:t>领域重点保障建筑施工安全管控、老旧危房整治、应急避难场所建设运维；水务领域持续加大水利排涝工程、智慧防汛监测设施、汛期抢险物资投入；消防领域推进战勤保障基地投用，配齐建强专职消防救援队伍；交通领域专项保障道路安全隐患排查整治。各行业部门资源统筹、信息互通、力量联动，建成覆盖城市运行全场景、平战一体的一体化应急基础保障体系。同时，市安全教育学院正式揭牌运行，搭建起</w:t>
      </w:r>
      <w:r>
        <w:rPr>
          <w:rFonts w:hint="eastAsia" w:ascii="Times New Roman" w:hAnsi="Times New Roman" w:eastAsia="仿宋_GB2312"/>
          <w:b w:val="0"/>
          <w:bCs/>
        </w:rPr>
        <w:t>“</w:t>
      </w:r>
      <w:r>
        <w:rPr>
          <w:rFonts w:ascii="Times New Roman" w:hAnsi="Times New Roman" w:eastAsia="仿宋_GB2312"/>
          <w:b w:val="0"/>
          <w:bCs/>
        </w:rPr>
        <w:t>1+11+N</w:t>
      </w:r>
      <w:r>
        <w:rPr>
          <w:rFonts w:hint="eastAsia" w:ascii="Times New Roman" w:hAnsi="Times New Roman" w:eastAsia="仿宋_GB2312"/>
          <w:b w:val="0"/>
          <w:bCs/>
        </w:rPr>
        <w:t>”</w:t>
      </w:r>
      <w:r>
        <w:rPr>
          <w:rFonts w:ascii="Times New Roman" w:hAnsi="Times New Roman" w:eastAsia="仿宋_GB2312"/>
          <w:b w:val="0"/>
          <w:bCs/>
        </w:rPr>
        <w:t>全民安全教育培训体系，为应急人才培育提供稳定阵地支撑；应急产业稳步发展壮大，持续为救援装备迭代升级、应急物资提质扩容提供产业赋能。一系列硬件、资金、人才、产业保障举措落地见效，为</w:t>
      </w:r>
      <w:r>
        <w:rPr>
          <w:rFonts w:hint="eastAsia" w:ascii="Times New Roman" w:hAnsi="Times New Roman" w:eastAsia="仿宋_GB2312"/>
          <w:b w:val="0"/>
          <w:bCs/>
        </w:rPr>
        <w:t>“</w:t>
      </w:r>
      <w:r>
        <w:rPr>
          <w:rFonts w:ascii="Times New Roman" w:hAnsi="Times New Roman" w:eastAsia="仿宋_GB2312"/>
          <w:b w:val="0"/>
          <w:bCs/>
        </w:rPr>
        <w:t>十五五</w:t>
      </w:r>
      <w:r>
        <w:rPr>
          <w:rFonts w:hint="eastAsia" w:ascii="Times New Roman" w:hAnsi="Times New Roman" w:eastAsia="仿宋_GB2312"/>
          <w:b w:val="0"/>
          <w:bCs/>
        </w:rPr>
        <w:t>”</w:t>
      </w:r>
      <w:r>
        <w:rPr>
          <w:rFonts w:ascii="Times New Roman" w:hAnsi="Times New Roman" w:eastAsia="仿宋_GB2312"/>
          <w:b w:val="0"/>
          <w:bCs/>
        </w:rPr>
        <w:t>推进应急管理体系和能力现代化建设打下坚实根基。</w:t>
      </w:r>
    </w:p>
    <w:p w14:paraId="53C52176">
      <w:pPr>
        <w:pStyle w:val="2"/>
        <w:adjustRightInd w:val="0"/>
        <w:snapToGrid w:val="0"/>
        <w:spacing w:before="0" w:after="0" w:line="560" w:lineRule="exact"/>
        <w:ind w:firstLine="640"/>
        <w:jc w:val="both"/>
        <w:rPr>
          <w:rFonts w:ascii="Times New Roman" w:hAnsi="Times New Roman" w:eastAsia="黑体"/>
        </w:rPr>
      </w:pPr>
      <w:bookmarkStart w:id="11" w:name="_Toc29437"/>
      <w:r>
        <w:rPr>
          <w:rFonts w:ascii="Times New Roman" w:hAnsi="Times New Roman" w:eastAsia="黑体"/>
        </w:rPr>
        <w:t>二、指导思想、基本原则和发展目标</w:t>
      </w:r>
      <w:bookmarkEnd w:id="11"/>
    </w:p>
    <w:p w14:paraId="4C486508">
      <w:pPr>
        <w:pStyle w:val="3"/>
        <w:adjustRightInd w:val="0"/>
        <w:snapToGrid w:val="0"/>
        <w:spacing w:before="0" w:after="0" w:line="560" w:lineRule="exact"/>
        <w:ind w:firstLine="640"/>
        <w:jc w:val="both"/>
        <w:rPr>
          <w:rFonts w:ascii="Times New Roman" w:hAnsi="Times New Roman" w:eastAsia="楷体_GB2312" w:cs="Times New Roman"/>
        </w:rPr>
      </w:pPr>
      <w:bookmarkStart w:id="12" w:name="_Toc21491"/>
      <w:r>
        <w:rPr>
          <w:rFonts w:ascii="Times New Roman" w:hAnsi="Times New Roman" w:eastAsia="楷体_GB2312" w:cs="Times New Roman"/>
        </w:rPr>
        <w:t>（一）指导思想</w:t>
      </w:r>
      <w:bookmarkEnd w:id="12"/>
    </w:p>
    <w:p w14:paraId="484BF4E7">
      <w:pPr>
        <w:adjustRightInd w:val="0"/>
        <w:snapToGrid w:val="0"/>
        <w:spacing w:line="560" w:lineRule="exact"/>
        <w:ind w:firstLine="640"/>
        <w:jc w:val="both"/>
        <w:rPr>
          <w:rFonts w:ascii="Times New Roman" w:hAnsi="Times New Roman" w:eastAsia="仿宋_GB2312"/>
          <w:b w:val="0"/>
          <w:bCs/>
        </w:rPr>
      </w:pPr>
      <w:r>
        <w:rPr>
          <w:rFonts w:hint="eastAsia" w:ascii="Times New Roman" w:hAnsi="Times New Roman" w:eastAsia="仿宋_GB2312"/>
          <w:b w:val="0"/>
          <w:bCs/>
        </w:rPr>
        <w:t>“</w:t>
      </w:r>
      <w:r>
        <w:rPr>
          <w:rFonts w:ascii="Times New Roman" w:hAnsi="Times New Roman" w:eastAsia="仿宋_GB2312"/>
          <w:b w:val="0"/>
          <w:bCs/>
        </w:rPr>
        <w:t>十五五</w:t>
      </w:r>
      <w:r>
        <w:rPr>
          <w:rFonts w:hint="eastAsia" w:ascii="Times New Roman" w:hAnsi="Times New Roman" w:eastAsia="仿宋_GB2312"/>
          <w:b w:val="0"/>
          <w:bCs/>
        </w:rPr>
        <w:t>”</w:t>
      </w:r>
      <w:r>
        <w:rPr>
          <w:rFonts w:ascii="Times New Roman" w:hAnsi="Times New Roman" w:eastAsia="仿宋_GB2312"/>
          <w:b w:val="0"/>
          <w:bCs/>
        </w:rPr>
        <w:t>时期是昆山市应急管理体系和能力现代化建设的关键阶段，任务艰巨、责任重大。全市上下要以习近平新时代中国特色社会主义思想为指导，深入学习贯彻习近平总书记关于安全生产的重要论述和重要指示批示精神，认真贯彻落实党中央国务院、省委省政府和苏州市委市政府关于安全生产的决策部署，坚持</w:t>
      </w:r>
      <w:r>
        <w:rPr>
          <w:rFonts w:hint="eastAsia" w:ascii="Times New Roman" w:hAnsi="Times New Roman" w:eastAsia="仿宋_GB2312"/>
          <w:b w:val="0"/>
          <w:bCs/>
        </w:rPr>
        <w:t>“</w:t>
      </w:r>
      <w:r>
        <w:rPr>
          <w:rFonts w:ascii="Times New Roman" w:hAnsi="Times New Roman" w:eastAsia="仿宋_GB2312"/>
          <w:b w:val="0"/>
          <w:bCs/>
        </w:rPr>
        <w:t>人民至上、生命至上</w:t>
      </w:r>
      <w:r>
        <w:rPr>
          <w:rFonts w:hint="eastAsia" w:ascii="Times New Roman" w:hAnsi="Times New Roman" w:eastAsia="仿宋_GB2312"/>
          <w:b w:val="0"/>
          <w:bCs/>
        </w:rPr>
        <w:t>”</w:t>
      </w:r>
      <w:r>
        <w:rPr>
          <w:rFonts w:ascii="Times New Roman" w:hAnsi="Times New Roman" w:eastAsia="仿宋_GB2312"/>
          <w:b w:val="0"/>
          <w:bCs/>
        </w:rPr>
        <w:t>，坚持总体国家安全观，统筹发展和安全，以高水平安全保障高质量发展，以推动治理模式向事前预防转型为主线，以坚决遏制重特大事故，有效防范重大涉险和较大事故，为全省经济大市</w:t>
      </w:r>
      <w:r>
        <w:rPr>
          <w:rFonts w:hint="eastAsia" w:ascii="Times New Roman" w:hAnsi="Times New Roman" w:eastAsia="仿宋_GB2312"/>
          <w:b w:val="0"/>
          <w:bCs/>
        </w:rPr>
        <w:t>“</w:t>
      </w:r>
      <w:r>
        <w:rPr>
          <w:rFonts w:ascii="Times New Roman" w:hAnsi="Times New Roman" w:eastAsia="仿宋_GB2312"/>
          <w:b w:val="0"/>
          <w:bCs/>
        </w:rPr>
        <w:t>挑大梁</w:t>
      </w:r>
      <w:r>
        <w:rPr>
          <w:rFonts w:hint="eastAsia" w:ascii="Times New Roman" w:hAnsi="Times New Roman" w:eastAsia="仿宋_GB2312"/>
          <w:b w:val="0"/>
          <w:bCs/>
        </w:rPr>
        <w:t>”</w:t>
      </w:r>
      <w:r>
        <w:rPr>
          <w:rFonts w:ascii="Times New Roman" w:hAnsi="Times New Roman" w:eastAsia="仿宋_GB2312"/>
          <w:b w:val="0"/>
          <w:bCs/>
        </w:rPr>
        <w:t>筑牢安全保障为基本要求，立足</w:t>
      </w:r>
      <w:r>
        <w:rPr>
          <w:rFonts w:hint="eastAsia" w:ascii="Times New Roman" w:hAnsi="Times New Roman" w:eastAsia="仿宋_GB2312"/>
          <w:b w:val="0"/>
          <w:bCs/>
        </w:rPr>
        <w:t>“</w:t>
      </w:r>
      <w:r>
        <w:rPr>
          <w:rFonts w:ascii="Times New Roman" w:hAnsi="Times New Roman" w:eastAsia="仿宋_GB2312"/>
          <w:b w:val="0"/>
          <w:bCs/>
        </w:rPr>
        <w:t>防</w:t>
      </w:r>
      <w:r>
        <w:rPr>
          <w:rFonts w:hint="eastAsia" w:ascii="Times New Roman" w:hAnsi="Times New Roman" w:eastAsia="仿宋_GB2312"/>
          <w:b w:val="0"/>
          <w:bCs/>
        </w:rPr>
        <w:t>”</w:t>
      </w:r>
      <w:r>
        <w:rPr>
          <w:rFonts w:ascii="Times New Roman" w:hAnsi="Times New Roman" w:eastAsia="仿宋_GB2312"/>
          <w:b w:val="0"/>
          <w:bCs/>
        </w:rPr>
        <w:t>、抓好</w:t>
      </w:r>
      <w:r>
        <w:rPr>
          <w:rFonts w:hint="eastAsia" w:ascii="Times New Roman" w:hAnsi="Times New Roman" w:eastAsia="仿宋_GB2312"/>
          <w:b w:val="0"/>
          <w:bCs/>
        </w:rPr>
        <w:t>“</w:t>
      </w:r>
      <w:r>
        <w:rPr>
          <w:rFonts w:ascii="Times New Roman" w:hAnsi="Times New Roman" w:eastAsia="仿宋_GB2312"/>
          <w:b w:val="0"/>
          <w:bCs/>
        </w:rPr>
        <w:t>救</w:t>
      </w:r>
      <w:r>
        <w:rPr>
          <w:rFonts w:hint="eastAsia" w:ascii="Times New Roman" w:hAnsi="Times New Roman" w:eastAsia="仿宋_GB2312"/>
          <w:b w:val="0"/>
          <w:bCs/>
        </w:rPr>
        <w:t>”</w:t>
      </w:r>
      <w:r>
        <w:rPr>
          <w:rFonts w:ascii="Times New Roman" w:hAnsi="Times New Roman" w:eastAsia="仿宋_GB2312"/>
          <w:b w:val="0"/>
          <w:bCs/>
        </w:rPr>
        <w:t>、夯实</w:t>
      </w:r>
      <w:r>
        <w:rPr>
          <w:rFonts w:hint="eastAsia" w:ascii="Times New Roman" w:hAnsi="Times New Roman" w:eastAsia="仿宋_GB2312"/>
          <w:b w:val="0"/>
          <w:bCs/>
        </w:rPr>
        <w:t>“</w:t>
      </w:r>
      <w:r>
        <w:rPr>
          <w:rFonts w:ascii="Times New Roman" w:hAnsi="Times New Roman" w:eastAsia="仿宋_GB2312"/>
          <w:b w:val="0"/>
          <w:bCs/>
        </w:rPr>
        <w:t>基</w:t>
      </w:r>
      <w:r>
        <w:rPr>
          <w:rFonts w:hint="eastAsia" w:ascii="Times New Roman" w:hAnsi="Times New Roman" w:eastAsia="仿宋_GB2312"/>
          <w:b w:val="0"/>
          <w:bCs/>
        </w:rPr>
        <w:t>”</w:t>
      </w:r>
      <w:r>
        <w:rPr>
          <w:rFonts w:ascii="Times New Roman" w:hAnsi="Times New Roman" w:eastAsia="仿宋_GB2312"/>
          <w:b w:val="0"/>
          <w:bCs/>
        </w:rPr>
        <w:t>，着力防范化解重大安全风险，不断提升本质安全水平，大力推进昆山市应急管理体系和能力现代化，奋力实现全市高质量发展和高水平安全良性互动，为建设社会主义现代化建设标杆城市提供坚实安全保障。</w:t>
      </w:r>
    </w:p>
    <w:p w14:paraId="203E06BD">
      <w:pPr>
        <w:pStyle w:val="3"/>
        <w:adjustRightInd w:val="0"/>
        <w:snapToGrid w:val="0"/>
        <w:spacing w:before="0" w:after="0" w:line="560" w:lineRule="exact"/>
        <w:ind w:firstLine="640"/>
        <w:jc w:val="both"/>
        <w:rPr>
          <w:rFonts w:ascii="Times New Roman" w:hAnsi="Times New Roman" w:eastAsia="楷体_GB2312" w:cs="Times New Roman"/>
        </w:rPr>
      </w:pPr>
      <w:bookmarkStart w:id="13" w:name="_Toc4719"/>
      <w:r>
        <w:rPr>
          <w:rFonts w:ascii="Times New Roman" w:hAnsi="Times New Roman" w:eastAsia="楷体_GB2312" w:cs="Times New Roman"/>
        </w:rPr>
        <w:t>（二）基本原则</w:t>
      </w:r>
      <w:bookmarkEnd w:id="13"/>
    </w:p>
    <w:p w14:paraId="7CCA7951">
      <w:pPr>
        <w:adjustRightInd w:val="0"/>
        <w:snapToGrid w:val="0"/>
        <w:spacing w:line="560" w:lineRule="exact"/>
        <w:ind w:firstLine="640"/>
        <w:jc w:val="both"/>
        <w:rPr>
          <w:rFonts w:ascii="Times New Roman" w:hAnsi="Times New Roman" w:eastAsia="仿宋_GB2312"/>
          <w:b w:val="0"/>
          <w:bCs/>
        </w:rPr>
      </w:pPr>
      <w:r>
        <w:rPr>
          <w:rFonts w:ascii="Times New Roman" w:hAnsi="Times New Roman" w:eastAsia="仿宋_GB2312"/>
          <w:b w:val="0"/>
          <w:bCs/>
        </w:rPr>
        <w:t>——坚持党的全面领导，系统统筹推进。牢牢把党的集中统一领导贯穿应急管理各领域、全过程，健全党委领导、政府负责、部门协同、企业主责、社会参与的大安全大应急工作格局，统筹发展和安全，统筹自然灾害和生产安全，统筹预防和应急，统筹常态和非常态，实现安全与发展良性互动。</w:t>
      </w:r>
    </w:p>
    <w:p w14:paraId="4F166158">
      <w:pPr>
        <w:adjustRightInd w:val="0"/>
        <w:snapToGrid w:val="0"/>
        <w:spacing w:line="560" w:lineRule="exact"/>
        <w:ind w:firstLine="640"/>
        <w:jc w:val="both"/>
        <w:rPr>
          <w:rFonts w:ascii="Times New Roman" w:hAnsi="Times New Roman" w:eastAsia="仿宋_GB2312"/>
          <w:b w:val="0"/>
          <w:bCs/>
        </w:rPr>
      </w:pPr>
      <w:r>
        <w:rPr>
          <w:rFonts w:ascii="Times New Roman" w:hAnsi="Times New Roman" w:eastAsia="仿宋_GB2312"/>
          <w:b w:val="0"/>
          <w:bCs/>
        </w:rPr>
        <w:t>——坚持预防为主、关口前移，强化源头治理。践行</w:t>
      </w:r>
      <w:r>
        <w:rPr>
          <w:rFonts w:hint="eastAsia" w:ascii="Times New Roman" w:hAnsi="Times New Roman" w:eastAsia="仿宋_GB2312"/>
          <w:b w:val="0"/>
          <w:bCs/>
        </w:rPr>
        <w:t>“</w:t>
      </w:r>
      <w:r>
        <w:rPr>
          <w:rFonts w:ascii="Times New Roman" w:hAnsi="Times New Roman" w:eastAsia="仿宋_GB2312"/>
          <w:b w:val="0"/>
          <w:bCs/>
        </w:rPr>
        <w:t>防为上、救次之、戒为下</w:t>
      </w:r>
      <w:r>
        <w:rPr>
          <w:rFonts w:hint="eastAsia" w:ascii="Times New Roman" w:hAnsi="Times New Roman" w:eastAsia="仿宋_GB2312"/>
          <w:b w:val="0"/>
          <w:bCs/>
        </w:rPr>
        <w:t>”</w:t>
      </w:r>
      <w:r>
        <w:rPr>
          <w:rFonts w:ascii="Times New Roman" w:hAnsi="Times New Roman" w:eastAsia="仿宋_GB2312"/>
          <w:b w:val="0"/>
          <w:bCs/>
        </w:rPr>
        <w:t>安全治理理念，主动推动公共安全治理模式向事前预防转型。健全全链条风险管控体系，完善风险辨识、分级评估、实时监测、精准预警闭环机制，综合运用人防、物防、技防手段，从源头化解安全风险，把各类隐患消除在萌芽状态、成灾之前，坚决从根本上遏制重特大事故发生。</w:t>
      </w:r>
    </w:p>
    <w:p w14:paraId="3CFE2A39">
      <w:pPr>
        <w:adjustRightInd w:val="0"/>
        <w:snapToGrid w:val="0"/>
        <w:spacing w:line="560" w:lineRule="exact"/>
        <w:ind w:firstLine="640"/>
        <w:jc w:val="both"/>
        <w:rPr>
          <w:rFonts w:ascii="Times New Roman" w:hAnsi="Times New Roman" w:eastAsia="仿宋_GB2312"/>
          <w:b w:val="0"/>
          <w:bCs/>
        </w:rPr>
      </w:pPr>
      <w:r>
        <w:rPr>
          <w:rFonts w:ascii="Times New Roman" w:hAnsi="Times New Roman" w:eastAsia="仿宋_GB2312"/>
          <w:b w:val="0"/>
          <w:bCs/>
        </w:rPr>
        <w:t>——坚持精准治理、分类分级，实施差异化管控。立足昆山独特区位条件、产业集群结构、城市发展阶段实际，把握不同板块、行业、业态致灾规律，针对危化、建筑、交通、防汛、消防等不同风险类型，分类制定管控措施、分级落实监管责任，聚焦重点领域、关键环节靶向施策，持续提升安全监管、风险治理的科学性、针对性与实操实效。</w:t>
      </w:r>
    </w:p>
    <w:p w14:paraId="12F86ACF">
      <w:pPr>
        <w:adjustRightInd w:val="0"/>
        <w:snapToGrid w:val="0"/>
        <w:spacing w:line="560" w:lineRule="exact"/>
        <w:ind w:firstLine="640"/>
        <w:jc w:val="both"/>
        <w:rPr>
          <w:rFonts w:ascii="Times New Roman" w:hAnsi="Times New Roman" w:eastAsia="仿宋_GB2312"/>
          <w:b w:val="0"/>
          <w:bCs/>
        </w:rPr>
      </w:pPr>
      <w:r>
        <w:rPr>
          <w:rFonts w:ascii="Times New Roman" w:hAnsi="Times New Roman" w:eastAsia="仿宋_GB2312"/>
          <w:b w:val="0"/>
          <w:bCs/>
        </w:rPr>
        <w:t>——坚持科技赋能、数字转型，强化创新驱动。以数字化、智能化转型为抓手，加快人工智能、物联网、大数据等新技术深度融入风险监测预警、综合监管执法、一体化指挥调度、专业化应急救援全流程，推动应急管理由传统经验驱动向数据驱动、智能驱动迭代升级，全面提升市域应急管理现代化、智慧化水平。</w:t>
      </w:r>
    </w:p>
    <w:p w14:paraId="75E1AF61">
      <w:pPr>
        <w:adjustRightInd w:val="0"/>
        <w:snapToGrid w:val="0"/>
        <w:spacing w:line="560" w:lineRule="exact"/>
        <w:ind w:firstLine="640"/>
        <w:jc w:val="both"/>
        <w:rPr>
          <w:rFonts w:ascii="Times New Roman" w:hAnsi="Times New Roman" w:eastAsia="仿宋_GB2312"/>
          <w:b w:val="0"/>
          <w:bCs/>
        </w:rPr>
      </w:pPr>
      <w:r>
        <w:rPr>
          <w:rFonts w:ascii="Times New Roman" w:hAnsi="Times New Roman" w:eastAsia="仿宋_GB2312"/>
          <w:b w:val="0"/>
          <w:bCs/>
        </w:rPr>
        <w:t>——坚持重心下移、基层优先，夯实治理根基。牢固树立大抓基层的鲜明导向，推动资源、力量、保障向基层下沉，加强基层应急管理机构建设、队伍建设、装备建设、能力建设，打通安全治理</w:t>
      </w:r>
      <w:r>
        <w:rPr>
          <w:rFonts w:hint="eastAsia" w:ascii="Times New Roman" w:hAnsi="Times New Roman" w:eastAsia="仿宋_GB2312"/>
          <w:b w:val="0"/>
          <w:bCs/>
        </w:rPr>
        <w:t>“</w:t>
      </w:r>
      <w:r>
        <w:rPr>
          <w:rFonts w:ascii="Times New Roman" w:hAnsi="Times New Roman" w:eastAsia="仿宋_GB2312"/>
          <w:b w:val="0"/>
          <w:bCs/>
        </w:rPr>
        <w:t>最后一公里</w:t>
      </w:r>
      <w:r>
        <w:rPr>
          <w:rFonts w:hint="eastAsia" w:ascii="Times New Roman" w:hAnsi="Times New Roman" w:eastAsia="仿宋_GB2312"/>
          <w:b w:val="0"/>
          <w:bCs/>
        </w:rPr>
        <w:t>”</w:t>
      </w:r>
      <w:r>
        <w:rPr>
          <w:rFonts w:ascii="Times New Roman" w:hAnsi="Times New Roman" w:eastAsia="仿宋_GB2312"/>
          <w:b w:val="0"/>
          <w:bCs/>
        </w:rPr>
        <w:t>，筑牢安全防线。</w:t>
      </w:r>
    </w:p>
    <w:p w14:paraId="7EEB1707">
      <w:pPr>
        <w:adjustRightInd w:val="0"/>
        <w:snapToGrid w:val="0"/>
        <w:spacing w:line="560" w:lineRule="exact"/>
        <w:ind w:firstLine="640"/>
        <w:jc w:val="both"/>
        <w:rPr>
          <w:rFonts w:ascii="Times New Roman" w:hAnsi="Times New Roman" w:eastAsia="仿宋_GB2312"/>
          <w:b w:val="0"/>
          <w:bCs/>
        </w:rPr>
      </w:pPr>
      <w:r>
        <w:rPr>
          <w:rFonts w:ascii="Times New Roman" w:hAnsi="Times New Roman" w:eastAsia="仿宋_GB2312"/>
          <w:b w:val="0"/>
          <w:bCs/>
        </w:rPr>
        <w:t>——坚持区域协同、多方联动，健全社会共治。紧扣长三角一体化国家战略，深化跨区域应急管理合作，完善长三角毗邻地区应急联动机制，实现资源共享、信息互通、力量协同、优势互补。健全社会参与机制，强化公众安全宣传教育，培育安全文化，鼓励企业、社会组织、志愿者等参与应急管理，形成群防群治、社会共治的良好局面。</w:t>
      </w:r>
    </w:p>
    <w:p w14:paraId="3984A72E">
      <w:pPr>
        <w:pStyle w:val="3"/>
        <w:adjustRightInd w:val="0"/>
        <w:snapToGrid w:val="0"/>
        <w:spacing w:before="0" w:after="0" w:line="560" w:lineRule="exact"/>
        <w:ind w:firstLine="640"/>
        <w:jc w:val="both"/>
        <w:rPr>
          <w:rFonts w:ascii="Times New Roman" w:hAnsi="Times New Roman" w:eastAsia="楷体_GB2312" w:cs="Times New Roman"/>
        </w:rPr>
      </w:pPr>
      <w:bookmarkStart w:id="14" w:name="_Toc17679"/>
      <w:r>
        <w:rPr>
          <w:rFonts w:ascii="Times New Roman" w:hAnsi="Times New Roman" w:eastAsia="楷体_GB2312" w:cs="Times New Roman"/>
        </w:rPr>
        <w:t>（三）发展目标</w:t>
      </w:r>
      <w:bookmarkEnd w:id="14"/>
    </w:p>
    <w:p w14:paraId="23B3DA23">
      <w:pPr>
        <w:adjustRightInd w:val="0"/>
        <w:snapToGrid w:val="0"/>
        <w:spacing w:line="560" w:lineRule="exact"/>
        <w:ind w:firstLine="641"/>
        <w:jc w:val="both"/>
        <w:rPr>
          <w:rFonts w:ascii="Times New Roman" w:hAnsi="Times New Roman" w:eastAsia="仿宋_GB2312"/>
        </w:rPr>
      </w:pPr>
      <w:r>
        <w:rPr>
          <w:rFonts w:ascii="Times New Roman" w:hAnsi="Times New Roman" w:eastAsia="仿宋_GB2312"/>
        </w:rPr>
        <w:t>1.总体目标</w:t>
      </w:r>
    </w:p>
    <w:p w14:paraId="510BC80F">
      <w:pPr>
        <w:adjustRightInd w:val="0"/>
        <w:snapToGrid w:val="0"/>
        <w:spacing w:line="560" w:lineRule="exact"/>
        <w:ind w:firstLine="640"/>
        <w:jc w:val="both"/>
        <w:rPr>
          <w:rFonts w:ascii="Times New Roman" w:hAnsi="Times New Roman" w:eastAsia="仿宋_GB2312"/>
          <w:b w:val="0"/>
          <w:bCs/>
        </w:rPr>
      </w:pPr>
      <w:r>
        <w:rPr>
          <w:rFonts w:ascii="Times New Roman" w:hAnsi="Times New Roman" w:eastAsia="仿宋_GB2312"/>
          <w:b w:val="0"/>
          <w:bCs/>
        </w:rPr>
        <w:t>远景目标：到2035年，全面建成与</w:t>
      </w:r>
      <w:r>
        <w:rPr>
          <w:rFonts w:hint="eastAsia" w:ascii="Times New Roman" w:hAnsi="Times New Roman" w:eastAsia="仿宋_GB2312"/>
          <w:b w:val="0"/>
          <w:bCs/>
        </w:rPr>
        <w:t>“</w:t>
      </w:r>
      <w:r>
        <w:rPr>
          <w:rFonts w:ascii="Times New Roman" w:hAnsi="Times New Roman" w:eastAsia="仿宋_GB2312"/>
          <w:b w:val="0"/>
          <w:bCs/>
        </w:rPr>
        <w:t>走在前、做示范</w:t>
      </w:r>
      <w:r>
        <w:rPr>
          <w:rFonts w:hint="eastAsia" w:ascii="Times New Roman" w:hAnsi="Times New Roman" w:eastAsia="仿宋_GB2312"/>
          <w:b w:val="0"/>
          <w:bCs/>
        </w:rPr>
        <w:t>”</w:t>
      </w:r>
      <w:r>
        <w:rPr>
          <w:rFonts w:ascii="Times New Roman" w:hAnsi="Times New Roman" w:eastAsia="仿宋_GB2312"/>
          <w:b w:val="0"/>
          <w:bCs/>
        </w:rPr>
        <w:t>相符合的现代化新昆山应急管理体系，服务保障高质量发展的能力全面增强，人民群众的安全感更加充实，应急管理事业改革发展实现新突破。</w:t>
      </w:r>
    </w:p>
    <w:p w14:paraId="1D0767BA">
      <w:pPr>
        <w:adjustRightInd w:val="0"/>
        <w:snapToGrid w:val="0"/>
        <w:spacing w:line="560" w:lineRule="exact"/>
        <w:ind w:firstLine="640"/>
        <w:jc w:val="both"/>
        <w:rPr>
          <w:rFonts w:ascii="Times New Roman" w:hAnsi="Times New Roman"/>
          <w:b w:val="0"/>
          <w:bCs/>
        </w:rPr>
      </w:pPr>
      <w:r>
        <w:rPr>
          <w:rFonts w:ascii="Times New Roman" w:hAnsi="Times New Roman" w:eastAsia="仿宋_GB2312"/>
          <w:b w:val="0"/>
          <w:bCs/>
        </w:rPr>
        <w:t>规划目标：基本实现与</w:t>
      </w:r>
      <w:r>
        <w:rPr>
          <w:rFonts w:hint="eastAsia" w:ascii="Times New Roman" w:hAnsi="Times New Roman" w:eastAsia="仿宋_GB2312"/>
          <w:b w:val="0"/>
          <w:bCs/>
        </w:rPr>
        <w:t>“</w:t>
      </w:r>
      <w:r>
        <w:rPr>
          <w:rFonts w:ascii="Times New Roman" w:hAnsi="Times New Roman" w:eastAsia="仿宋_GB2312"/>
          <w:b w:val="0"/>
          <w:bCs/>
        </w:rPr>
        <w:t>在推进中国式现代化中走在前、做示范</w:t>
      </w:r>
      <w:r>
        <w:rPr>
          <w:rFonts w:hint="eastAsia" w:ascii="Times New Roman" w:hAnsi="Times New Roman" w:eastAsia="仿宋_GB2312"/>
          <w:b w:val="0"/>
          <w:bCs/>
        </w:rPr>
        <w:t>”</w:t>
      </w:r>
      <w:r>
        <w:rPr>
          <w:rFonts w:ascii="Times New Roman" w:hAnsi="Times New Roman" w:eastAsia="仿宋_GB2312"/>
          <w:b w:val="0"/>
          <w:bCs/>
        </w:rPr>
        <w:t>的战略定位相适应、与</w:t>
      </w:r>
      <w:r>
        <w:rPr>
          <w:rFonts w:hint="eastAsia" w:ascii="Times New Roman" w:hAnsi="Times New Roman" w:eastAsia="仿宋_GB2312"/>
          <w:b w:val="0"/>
          <w:bCs/>
        </w:rPr>
        <w:t>“</w:t>
      </w:r>
      <w:r>
        <w:rPr>
          <w:rFonts w:ascii="Times New Roman" w:hAnsi="Times New Roman" w:eastAsia="仿宋_GB2312"/>
          <w:b w:val="0"/>
          <w:bCs/>
        </w:rPr>
        <w:t>争当表率、争做示范、走在前列</w:t>
      </w:r>
      <w:r>
        <w:rPr>
          <w:rFonts w:hint="eastAsia" w:ascii="Times New Roman" w:hAnsi="Times New Roman" w:eastAsia="仿宋_GB2312"/>
          <w:b w:val="0"/>
          <w:bCs/>
        </w:rPr>
        <w:t>”</w:t>
      </w:r>
      <w:r>
        <w:rPr>
          <w:rFonts w:ascii="Times New Roman" w:hAnsi="Times New Roman" w:eastAsia="仿宋_GB2312"/>
          <w:b w:val="0"/>
          <w:bCs/>
        </w:rPr>
        <w:t>的总体要求相符合的应急管理体系和能力现代化，安全生产治理体系更加完善、灾害防范应对更加精准、应急救援能力显著增强、支撑保障基础持续夯实、社会共治格局全面优化，安全生产和综合防灾减灾形势稳定向好，生产安全事故总量持续下降，全社会安全感大幅提升。应急管理治理体系和治理能力现代化水平走在全市前列，成为全省县域应急管理现代化标杆。</w:t>
      </w:r>
    </w:p>
    <w:p w14:paraId="69916C88">
      <w:pPr>
        <w:pStyle w:val="32"/>
        <w:ind w:firstLineChars="0"/>
        <w:rPr>
          <w:rFonts w:ascii="Times New Roman" w:hAnsi="Times New Roman"/>
        </w:rPr>
      </w:pPr>
      <w:r>
        <w:rPr>
          <w:rFonts w:ascii="Times New Roman" w:hAnsi="Times New Roman"/>
        </w:rPr>
        <w:t>2.分项目标</w:t>
      </w:r>
    </w:p>
    <w:tbl>
      <w:tblPr>
        <w:tblStyle w:val="14"/>
        <w:tblW w:w="90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0"/>
        <w:gridCol w:w="1120"/>
        <w:gridCol w:w="4736"/>
        <w:gridCol w:w="1387"/>
        <w:gridCol w:w="1115"/>
      </w:tblGrid>
      <w:tr w14:paraId="07ED6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blHeader/>
          <w:jc w:val="center"/>
        </w:trPr>
        <w:tc>
          <w:tcPr>
            <w:tcW w:w="700" w:type="dxa"/>
            <w:vAlign w:val="center"/>
          </w:tcPr>
          <w:p w14:paraId="7F72D0E5">
            <w:pPr>
              <w:adjustRightInd w:val="0"/>
              <w:snapToGrid w:val="0"/>
              <w:spacing w:line="240" w:lineRule="auto"/>
              <w:ind w:firstLine="0" w:firstLineChars="0"/>
              <w:jc w:val="center"/>
              <w:rPr>
                <w:rFonts w:ascii="Times New Roman" w:hAnsi="Times New Roman" w:eastAsia="黑体"/>
                <w:b w:val="0"/>
                <w:bCs/>
                <w:sz w:val="21"/>
                <w:szCs w:val="21"/>
              </w:rPr>
            </w:pPr>
            <w:r>
              <w:rPr>
                <w:rFonts w:ascii="Times New Roman" w:hAnsi="Times New Roman" w:eastAsia="黑体"/>
                <w:b w:val="0"/>
                <w:bCs/>
                <w:sz w:val="21"/>
                <w:szCs w:val="21"/>
              </w:rPr>
              <w:t>序号</w:t>
            </w:r>
          </w:p>
        </w:tc>
        <w:tc>
          <w:tcPr>
            <w:tcW w:w="1120" w:type="dxa"/>
            <w:vAlign w:val="center"/>
          </w:tcPr>
          <w:p w14:paraId="176AE4B5">
            <w:pPr>
              <w:adjustRightInd w:val="0"/>
              <w:snapToGrid w:val="0"/>
              <w:spacing w:line="240" w:lineRule="auto"/>
              <w:ind w:firstLine="0" w:firstLineChars="0"/>
              <w:jc w:val="center"/>
              <w:rPr>
                <w:rFonts w:ascii="Times New Roman" w:hAnsi="Times New Roman" w:eastAsia="黑体"/>
                <w:b w:val="0"/>
                <w:bCs/>
                <w:sz w:val="21"/>
                <w:szCs w:val="21"/>
              </w:rPr>
            </w:pPr>
            <w:r>
              <w:rPr>
                <w:rFonts w:ascii="Times New Roman" w:hAnsi="Times New Roman" w:eastAsia="黑体"/>
                <w:b w:val="0"/>
                <w:bCs/>
                <w:sz w:val="21"/>
                <w:szCs w:val="21"/>
              </w:rPr>
              <w:t>指标类别</w:t>
            </w:r>
          </w:p>
        </w:tc>
        <w:tc>
          <w:tcPr>
            <w:tcW w:w="4736" w:type="dxa"/>
            <w:vAlign w:val="center"/>
          </w:tcPr>
          <w:p w14:paraId="07100EB4">
            <w:pPr>
              <w:adjustRightInd w:val="0"/>
              <w:snapToGrid w:val="0"/>
              <w:spacing w:line="240" w:lineRule="auto"/>
              <w:ind w:firstLine="420"/>
              <w:jc w:val="center"/>
              <w:rPr>
                <w:rFonts w:ascii="Times New Roman" w:hAnsi="Times New Roman" w:eastAsia="黑体"/>
                <w:b w:val="0"/>
                <w:bCs/>
                <w:sz w:val="21"/>
                <w:szCs w:val="21"/>
              </w:rPr>
            </w:pPr>
            <w:r>
              <w:rPr>
                <w:rFonts w:ascii="Times New Roman" w:hAnsi="Times New Roman" w:eastAsia="黑体"/>
                <w:b w:val="0"/>
                <w:bCs/>
                <w:sz w:val="21"/>
                <w:szCs w:val="21"/>
              </w:rPr>
              <w:t>指标内容</w:t>
            </w:r>
          </w:p>
        </w:tc>
        <w:tc>
          <w:tcPr>
            <w:tcW w:w="1387" w:type="dxa"/>
            <w:vAlign w:val="center"/>
          </w:tcPr>
          <w:p w14:paraId="0C4A377F">
            <w:pPr>
              <w:adjustRightInd w:val="0"/>
              <w:snapToGrid w:val="0"/>
              <w:spacing w:line="240" w:lineRule="auto"/>
              <w:ind w:firstLine="0" w:firstLineChars="0"/>
              <w:jc w:val="center"/>
              <w:rPr>
                <w:rFonts w:ascii="Times New Roman" w:hAnsi="Times New Roman" w:eastAsia="黑体"/>
                <w:b w:val="0"/>
                <w:bCs/>
                <w:sz w:val="21"/>
                <w:szCs w:val="21"/>
              </w:rPr>
            </w:pPr>
            <w:r>
              <w:rPr>
                <w:rFonts w:ascii="Times New Roman" w:hAnsi="Times New Roman" w:eastAsia="黑体"/>
                <w:b w:val="0"/>
                <w:bCs/>
                <w:sz w:val="21"/>
                <w:szCs w:val="21"/>
              </w:rPr>
              <w:t>规划目标</w:t>
            </w:r>
          </w:p>
        </w:tc>
        <w:tc>
          <w:tcPr>
            <w:tcW w:w="1115" w:type="dxa"/>
            <w:vAlign w:val="center"/>
          </w:tcPr>
          <w:p w14:paraId="708A237A">
            <w:pPr>
              <w:adjustRightInd w:val="0"/>
              <w:snapToGrid w:val="0"/>
              <w:spacing w:line="240" w:lineRule="auto"/>
              <w:ind w:firstLine="0" w:firstLineChars="0"/>
              <w:jc w:val="center"/>
              <w:rPr>
                <w:rFonts w:ascii="Times New Roman" w:hAnsi="Times New Roman" w:eastAsia="黑体"/>
                <w:b w:val="0"/>
                <w:bCs/>
                <w:sz w:val="21"/>
                <w:szCs w:val="21"/>
              </w:rPr>
            </w:pPr>
            <w:r>
              <w:rPr>
                <w:rFonts w:ascii="Times New Roman" w:hAnsi="Times New Roman" w:eastAsia="黑体"/>
                <w:b w:val="0"/>
                <w:bCs/>
                <w:sz w:val="21"/>
                <w:szCs w:val="21"/>
              </w:rPr>
              <w:t>指标性质</w:t>
            </w:r>
          </w:p>
        </w:tc>
      </w:tr>
      <w:tr w14:paraId="62412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0" w:type="dxa"/>
            <w:vAlign w:val="center"/>
          </w:tcPr>
          <w:p w14:paraId="64BEDFE6">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1</w:t>
            </w:r>
          </w:p>
        </w:tc>
        <w:tc>
          <w:tcPr>
            <w:tcW w:w="1120" w:type="dxa"/>
            <w:vMerge w:val="restart"/>
            <w:vAlign w:val="center"/>
          </w:tcPr>
          <w:p w14:paraId="7B9BECC7">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安全生产</w:t>
            </w:r>
          </w:p>
        </w:tc>
        <w:tc>
          <w:tcPr>
            <w:tcW w:w="4736" w:type="dxa"/>
            <w:vAlign w:val="center"/>
          </w:tcPr>
          <w:p w14:paraId="1DB96D5B">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生产安全事故死亡人数</w:t>
            </w:r>
          </w:p>
        </w:tc>
        <w:tc>
          <w:tcPr>
            <w:tcW w:w="1387" w:type="dxa"/>
            <w:vAlign w:val="center"/>
          </w:tcPr>
          <w:p w14:paraId="45B98285">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下降16%</w:t>
            </w:r>
          </w:p>
        </w:tc>
        <w:tc>
          <w:tcPr>
            <w:tcW w:w="1115" w:type="dxa"/>
            <w:vAlign w:val="center"/>
          </w:tcPr>
          <w:p w14:paraId="06ABA2F4">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约束性</w:t>
            </w:r>
          </w:p>
        </w:tc>
      </w:tr>
      <w:tr w14:paraId="5498D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0" w:type="dxa"/>
            <w:vAlign w:val="center"/>
          </w:tcPr>
          <w:p w14:paraId="4DD75507">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2</w:t>
            </w:r>
          </w:p>
        </w:tc>
        <w:tc>
          <w:tcPr>
            <w:tcW w:w="1120" w:type="dxa"/>
            <w:vMerge w:val="continue"/>
            <w:vAlign w:val="center"/>
          </w:tcPr>
          <w:p w14:paraId="473FE9CB">
            <w:pPr>
              <w:adjustRightInd w:val="0"/>
              <w:snapToGrid w:val="0"/>
              <w:spacing w:line="240" w:lineRule="auto"/>
              <w:ind w:firstLine="420"/>
              <w:jc w:val="center"/>
              <w:rPr>
                <w:rFonts w:ascii="Times New Roman" w:hAnsi="Times New Roman" w:eastAsia="宋体"/>
                <w:b w:val="0"/>
                <w:bCs/>
                <w:sz w:val="21"/>
                <w:szCs w:val="21"/>
              </w:rPr>
            </w:pPr>
          </w:p>
        </w:tc>
        <w:tc>
          <w:tcPr>
            <w:tcW w:w="4736" w:type="dxa"/>
            <w:vAlign w:val="center"/>
          </w:tcPr>
          <w:p w14:paraId="62154CAE">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生产安全事故起数</w:t>
            </w:r>
          </w:p>
        </w:tc>
        <w:tc>
          <w:tcPr>
            <w:tcW w:w="1387" w:type="dxa"/>
            <w:vAlign w:val="center"/>
          </w:tcPr>
          <w:p w14:paraId="6F381913">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下降20%</w:t>
            </w:r>
          </w:p>
        </w:tc>
        <w:tc>
          <w:tcPr>
            <w:tcW w:w="1115" w:type="dxa"/>
            <w:vAlign w:val="center"/>
          </w:tcPr>
          <w:p w14:paraId="53C04D57">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约束性</w:t>
            </w:r>
          </w:p>
        </w:tc>
      </w:tr>
      <w:tr w14:paraId="1C9F7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0" w:type="dxa"/>
            <w:vAlign w:val="center"/>
          </w:tcPr>
          <w:p w14:paraId="53AFE3A3">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3</w:t>
            </w:r>
          </w:p>
        </w:tc>
        <w:tc>
          <w:tcPr>
            <w:tcW w:w="1120" w:type="dxa"/>
            <w:vMerge w:val="continue"/>
            <w:vAlign w:val="center"/>
          </w:tcPr>
          <w:p w14:paraId="20256E68">
            <w:pPr>
              <w:adjustRightInd w:val="0"/>
              <w:snapToGrid w:val="0"/>
              <w:spacing w:line="240" w:lineRule="auto"/>
              <w:ind w:firstLine="420"/>
              <w:jc w:val="center"/>
              <w:rPr>
                <w:rFonts w:ascii="Times New Roman" w:hAnsi="Times New Roman" w:eastAsia="宋体"/>
                <w:b w:val="0"/>
                <w:bCs/>
                <w:sz w:val="21"/>
                <w:szCs w:val="21"/>
              </w:rPr>
            </w:pPr>
          </w:p>
        </w:tc>
        <w:tc>
          <w:tcPr>
            <w:tcW w:w="4736" w:type="dxa"/>
            <w:vAlign w:val="center"/>
          </w:tcPr>
          <w:p w14:paraId="174187D6">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百亿元GDP生产安全事故死亡率</w:t>
            </w:r>
          </w:p>
        </w:tc>
        <w:tc>
          <w:tcPr>
            <w:tcW w:w="1387" w:type="dxa"/>
            <w:vAlign w:val="center"/>
          </w:tcPr>
          <w:p w14:paraId="727645A8">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≤0.3</w:t>
            </w:r>
          </w:p>
        </w:tc>
        <w:tc>
          <w:tcPr>
            <w:tcW w:w="1115" w:type="dxa"/>
            <w:vAlign w:val="center"/>
          </w:tcPr>
          <w:p w14:paraId="3D22443A">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约束性</w:t>
            </w:r>
          </w:p>
        </w:tc>
      </w:tr>
      <w:tr w14:paraId="4B94B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0" w:type="dxa"/>
            <w:vAlign w:val="center"/>
          </w:tcPr>
          <w:p w14:paraId="3DC5865C">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4</w:t>
            </w:r>
          </w:p>
        </w:tc>
        <w:tc>
          <w:tcPr>
            <w:tcW w:w="1120" w:type="dxa"/>
            <w:vMerge w:val="continue"/>
            <w:vAlign w:val="center"/>
          </w:tcPr>
          <w:p w14:paraId="4B88648A">
            <w:pPr>
              <w:adjustRightInd w:val="0"/>
              <w:snapToGrid w:val="0"/>
              <w:spacing w:line="240" w:lineRule="auto"/>
              <w:ind w:firstLine="420"/>
              <w:jc w:val="center"/>
              <w:rPr>
                <w:rFonts w:ascii="Times New Roman" w:hAnsi="Times New Roman" w:eastAsia="宋体"/>
                <w:b w:val="0"/>
                <w:bCs/>
                <w:sz w:val="21"/>
                <w:szCs w:val="21"/>
              </w:rPr>
            </w:pPr>
          </w:p>
        </w:tc>
        <w:tc>
          <w:tcPr>
            <w:tcW w:w="4736" w:type="dxa"/>
            <w:vAlign w:val="center"/>
          </w:tcPr>
          <w:p w14:paraId="58A65FE1">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工矿商贸就业人员十万人生产安全事故死亡率</w:t>
            </w:r>
          </w:p>
        </w:tc>
        <w:tc>
          <w:tcPr>
            <w:tcW w:w="1387" w:type="dxa"/>
            <w:vAlign w:val="center"/>
          </w:tcPr>
          <w:p w14:paraId="6ABD9149">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下降16%</w:t>
            </w:r>
          </w:p>
        </w:tc>
        <w:tc>
          <w:tcPr>
            <w:tcW w:w="1115" w:type="dxa"/>
            <w:vAlign w:val="center"/>
          </w:tcPr>
          <w:p w14:paraId="0650C07B">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约束性</w:t>
            </w:r>
          </w:p>
        </w:tc>
      </w:tr>
      <w:tr w14:paraId="3B3F9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0" w:type="dxa"/>
            <w:vAlign w:val="center"/>
          </w:tcPr>
          <w:p w14:paraId="4AC81722">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5</w:t>
            </w:r>
          </w:p>
        </w:tc>
        <w:tc>
          <w:tcPr>
            <w:tcW w:w="1120" w:type="dxa"/>
            <w:vMerge w:val="continue"/>
            <w:vAlign w:val="center"/>
          </w:tcPr>
          <w:p w14:paraId="3B693BCF">
            <w:pPr>
              <w:adjustRightInd w:val="0"/>
              <w:snapToGrid w:val="0"/>
              <w:spacing w:line="240" w:lineRule="auto"/>
              <w:ind w:firstLine="420"/>
              <w:jc w:val="center"/>
              <w:rPr>
                <w:rFonts w:ascii="Times New Roman" w:hAnsi="Times New Roman" w:eastAsia="宋体"/>
                <w:b w:val="0"/>
                <w:bCs/>
                <w:sz w:val="21"/>
                <w:szCs w:val="21"/>
              </w:rPr>
            </w:pPr>
          </w:p>
        </w:tc>
        <w:tc>
          <w:tcPr>
            <w:tcW w:w="4736" w:type="dxa"/>
            <w:vAlign w:val="center"/>
          </w:tcPr>
          <w:p w14:paraId="232C4205">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生产性工伤事故数下降率</w:t>
            </w:r>
          </w:p>
        </w:tc>
        <w:tc>
          <w:tcPr>
            <w:tcW w:w="1387" w:type="dxa"/>
            <w:vAlign w:val="center"/>
          </w:tcPr>
          <w:p w14:paraId="7AE1CFAE">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≥5%</w:t>
            </w:r>
          </w:p>
        </w:tc>
        <w:tc>
          <w:tcPr>
            <w:tcW w:w="1115" w:type="dxa"/>
            <w:vAlign w:val="center"/>
          </w:tcPr>
          <w:p w14:paraId="56577267">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预期性</w:t>
            </w:r>
          </w:p>
        </w:tc>
      </w:tr>
      <w:tr w14:paraId="6FD9F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0" w:type="dxa"/>
            <w:vAlign w:val="center"/>
          </w:tcPr>
          <w:p w14:paraId="1A2CE685">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6</w:t>
            </w:r>
          </w:p>
        </w:tc>
        <w:tc>
          <w:tcPr>
            <w:tcW w:w="1120" w:type="dxa"/>
            <w:vMerge w:val="restart"/>
            <w:vAlign w:val="center"/>
          </w:tcPr>
          <w:p w14:paraId="30F8D8A7">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防灾减灾</w:t>
            </w:r>
          </w:p>
        </w:tc>
        <w:tc>
          <w:tcPr>
            <w:tcW w:w="4736" w:type="dxa"/>
            <w:vAlign w:val="center"/>
          </w:tcPr>
          <w:p w14:paraId="73045324">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年均每百万人因自然灾害死亡率</w:t>
            </w:r>
          </w:p>
        </w:tc>
        <w:tc>
          <w:tcPr>
            <w:tcW w:w="1387" w:type="dxa"/>
            <w:vAlign w:val="center"/>
          </w:tcPr>
          <w:p w14:paraId="02225FB7">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低于0.4</w:t>
            </w:r>
          </w:p>
        </w:tc>
        <w:tc>
          <w:tcPr>
            <w:tcW w:w="1115" w:type="dxa"/>
            <w:vAlign w:val="center"/>
          </w:tcPr>
          <w:p w14:paraId="51CF4CBC">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预期性</w:t>
            </w:r>
          </w:p>
        </w:tc>
      </w:tr>
      <w:tr w14:paraId="22E3A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0" w:type="dxa"/>
            <w:vAlign w:val="center"/>
          </w:tcPr>
          <w:p w14:paraId="61F7838F">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7</w:t>
            </w:r>
          </w:p>
        </w:tc>
        <w:tc>
          <w:tcPr>
            <w:tcW w:w="1120" w:type="dxa"/>
            <w:vMerge w:val="continue"/>
            <w:vAlign w:val="center"/>
          </w:tcPr>
          <w:p w14:paraId="2DA9AE98">
            <w:pPr>
              <w:adjustRightInd w:val="0"/>
              <w:snapToGrid w:val="0"/>
              <w:spacing w:line="240" w:lineRule="auto"/>
              <w:ind w:firstLine="420"/>
              <w:jc w:val="center"/>
              <w:rPr>
                <w:rFonts w:ascii="Times New Roman" w:hAnsi="Times New Roman" w:eastAsia="宋体"/>
                <w:b w:val="0"/>
                <w:bCs/>
                <w:sz w:val="21"/>
                <w:szCs w:val="21"/>
              </w:rPr>
            </w:pPr>
          </w:p>
        </w:tc>
        <w:tc>
          <w:tcPr>
            <w:tcW w:w="4736" w:type="dxa"/>
            <w:vAlign w:val="center"/>
          </w:tcPr>
          <w:p w14:paraId="27CEFF35">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年均每十万人受灾人次</w:t>
            </w:r>
          </w:p>
        </w:tc>
        <w:tc>
          <w:tcPr>
            <w:tcW w:w="1387" w:type="dxa"/>
            <w:vAlign w:val="center"/>
          </w:tcPr>
          <w:p w14:paraId="0CE3ED94">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3000以内</w:t>
            </w:r>
          </w:p>
        </w:tc>
        <w:tc>
          <w:tcPr>
            <w:tcW w:w="1115" w:type="dxa"/>
            <w:vAlign w:val="center"/>
          </w:tcPr>
          <w:p w14:paraId="0F75160C">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预期性</w:t>
            </w:r>
          </w:p>
        </w:tc>
      </w:tr>
      <w:tr w14:paraId="7AD39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0" w:type="dxa"/>
            <w:vAlign w:val="center"/>
          </w:tcPr>
          <w:p w14:paraId="59B90C82">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8</w:t>
            </w:r>
          </w:p>
        </w:tc>
        <w:tc>
          <w:tcPr>
            <w:tcW w:w="1120" w:type="dxa"/>
            <w:vMerge w:val="continue"/>
            <w:vAlign w:val="center"/>
          </w:tcPr>
          <w:p w14:paraId="7FCDB624">
            <w:pPr>
              <w:adjustRightInd w:val="0"/>
              <w:snapToGrid w:val="0"/>
              <w:spacing w:line="240" w:lineRule="auto"/>
              <w:ind w:firstLine="420"/>
              <w:jc w:val="center"/>
              <w:rPr>
                <w:rFonts w:ascii="Times New Roman" w:hAnsi="Times New Roman" w:eastAsia="宋体"/>
                <w:b w:val="0"/>
                <w:bCs/>
                <w:sz w:val="21"/>
                <w:szCs w:val="21"/>
              </w:rPr>
            </w:pPr>
          </w:p>
        </w:tc>
        <w:tc>
          <w:tcPr>
            <w:tcW w:w="4736" w:type="dxa"/>
            <w:vAlign w:val="center"/>
          </w:tcPr>
          <w:p w14:paraId="678A4A7B">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年均因自然灾害直接经济损失占国内生产总值比例</w:t>
            </w:r>
          </w:p>
        </w:tc>
        <w:tc>
          <w:tcPr>
            <w:tcW w:w="1387" w:type="dxa"/>
            <w:vAlign w:val="center"/>
          </w:tcPr>
          <w:p w14:paraId="43461DF6">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＜0.35%</w:t>
            </w:r>
          </w:p>
        </w:tc>
        <w:tc>
          <w:tcPr>
            <w:tcW w:w="1115" w:type="dxa"/>
            <w:vAlign w:val="center"/>
          </w:tcPr>
          <w:p w14:paraId="0F72E629">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预期性</w:t>
            </w:r>
          </w:p>
        </w:tc>
      </w:tr>
      <w:tr w14:paraId="34A68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0" w:type="dxa"/>
            <w:vAlign w:val="center"/>
          </w:tcPr>
          <w:p w14:paraId="1F2927E4">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9</w:t>
            </w:r>
          </w:p>
        </w:tc>
        <w:tc>
          <w:tcPr>
            <w:tcW w:w="1120" w:type="dxa"/>
            <w:vAlign w:val="center"/>
          </w:tcPr>
          <w:p w14:paraId="5D0023FB">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应急救援</w:t>
            </w:r>
          </w:p>
        </w:tc>
        <w:tc>
          <w:tcPr>
            <w:tcW w:w="4736" w:type="dxa"/>
            <w:vAlign w:val="center"/>
          </w:tcPr>
          <w:p w14:paraId="0CBF97D9">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“三断”失联区域与外界建立联络通道时间</w:t>
            </w:r>
          </w:p>
        </w:tc>
        <w:tc>
          <w:tcPr>
            <w:tcW w:w="1387" w:type="dxa"/>
            <w:vAlign w:val="center"/>
          </w:tcPr>
          <w:p w14:paraId="67532A6D">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≤8小时</w:t>
            </w:r>
          </w:p>
        </w:tc>
        <w:tc>
          <w:tcPr>
            <w:tcW w:w="1115" w:type="dxa"/>
            <w:vAlign w:val="center"/>
          </w:tcPr>
          <w:p w14:paraId="632F7DE4">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预期性</w:t>
            </w:r>
          </w:p>
        </w:tc>
      </w:tr>
      <w:tr w14:paraId="15F51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0" w:type="dxa"/>
            <w:vAlign w:val="center"/>
          </w:tcPr>
          <w:p w14:paraId="0D86C4BD">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10</w:t>
            </w:r>
          </w:p>
        </w:tc>
        <w:tc>
          <w:tcPr>
            <w:tcW w:w="1120" w:type="dxa"/>
            <w:vMerge w:val="restart"/>
            <w:vAlign w:val="center"/>
          </w:tcPr>
          <w:p w14:paraId="0CBD4ECF">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人才培</w:t>
            </w:r>
            <w:r>
              <w:rPr>
                <w:rFonts w:hint="eastAsia" w:ascii="Times New Roman" w:hAnsi="Times New Roman" w:eastAsia="宋体"/>
                <w:b w:val="0"/>
                <w:bCs/>
                <w:sz w:val="21"/>
                <w:szCs w:val="21"/>
              </w:rPr>
              <w:t>养</w:t>
            </w:r>
          </w:p>
        </w:tc>
        <w:tc>
          <w:tcPr>
            <w:tcW w:w="4736" w:type="dxa"/>
            <w:vAlign w:val="center"/>
          </w:tcPr>
          <w:p w14:paraId="319ACBB3">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注册安全工程师通过考试总人数</w:t>
            </w:r>
          </w:p>
        </w:tc>
        <w:tc>
          <w:tcPr>
            <w:tcW w:w="1387" w:type="dxa"/>
            <w:vAlign w:val="center"/>
          </w:tcPr>
          <w:p w14:paraId="4BC9A160">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≥2000人</w:t>
            </w:r>
          </w:p>
        </w:tc>
        <w:tc>
          <w:tcPr>
            <w:tcW w:w="1115" w:type="dxa"/>
            <w:vAlign w:val="center"/>
          </w:tcPr>
          <w:p w14:paraId="09522930">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预期性</w:t>
            </w:r>
          </w:p>
        </w:tc>
      </w:tr>
      <w:tr w14:paraId="47997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0" w:type="dxa"/>
            <w:vAlign w:val="center"/>
          </w:tcPr>
          <w:p w14:paraId="51F0DB4F">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11</w:t>
            </w:r>
          </w:p>
        </w:tc>
        <w:tc>
          <w:tcPr>
            <w:tcW w:w="1120" w:type="dxa"/>
            <w:vMerge w:val="continue"/>
            <w:vAlign w:val="center"/>
          </w:tcPr>
          <w:p w14:paraId="18EE4847">
            <w:pPr>
              <w:adjustRightInd w:val="0"/>
              <w:snapToGrid w:val="0"/>
              <w:spacing w:line="240" w:lineRule="auto"/>
              <w:ind w:firstLine="420"/>
              <w:jc w:val="center"/>
              <w:rPr>
                <w:rFonts w:ascii="Times New Roman" w:hAnsi="Times New Roman" w:eastAsia="宋体"/>
                <w:b w:val="0"/>
                <w:bCs/>
                <w:sz w:val="21"/>
                <w:szCs w:val="21"/>
              </w:rPr>
            </w:pPr>
          </w:p>
        </w:tc>
        <w:tc>
          <w:tcPr>
            <w:tcW w:w="4736" w:type="dxa"/>
            <w:vAlign w:val="center"/>
          </w:tcPr>
          <w:p w14:paraId="457D100C">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安全监管人员通过注册安全工程师考试人数</w:t>
            </w:r>
          </w:p>
        </w:tc>
        <w:tc>
          <w:tcPr>
            <w:tcW w:w="1387" w:type="dxa"/>
            <w:vAlign w:val="center"/>
          </w:tcPr>
          <w:p w14:paraId="767A0663">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上升50%</w:t>
            </w:r>
          </w:p>
        </w:tc>
        <w:tc>
          <w:tcPr>
            <w:tcW w:w="1115" w:type="dxa"/>
            <w:vAlign w:val="center"/>
          </w:tcPr>
          <w:p w14:paraId="1DB219E5">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预期性</w:t>
            </w:r>
          </w:p>
        </w:tc>
      </w:tr>
      <w:tr w14:paraId="65515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0" w:type="dxa"/>
            <w:vAlign w:val="center"/>
          </w:tcPr>
          <w:p w14:paraId="14238464">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12</w:t>
            </w:r>
          </w:p>
        </w:tc>
        <w:tc>
          <w:tcPr>
            <w:tcW w:w="1120" w:type="dxa"/>
            <w:vMerge w:val="continue"/>
            <w:vAlign w:val="center"/>
          </w:tcPr>
          <w:p w14:paraId="25D461BD">
            <w:pPr>
              <w:adjustRightInd w:val="0"/>
              <w:snapToGrid w:val="0"/>
              <w:spacing w:line="240" w:lineRule="auto"/>
              <w:ind w:firstLine="420"/>
              <w:jc w:val="center"/>
              <w:rPr>
                <w:rFonts w:ascii="Times New Roman" w:hAnsi="Times New Roman" w:eastAsia="宋体"/>
                <w:b w:val="0"/>
                <w:bCs/>
                <w:sz w:val="21"/>
                <w:szCs w:val="21"/>
              </w:rPr>
            </w:pPr>
          </w:p>
        </w:tc>
        <w:tc>
          <w:tcPr>
            <w:tcW w:w="4736" w:type="dxa"/>
            <w:vAlign w:val="center"/>
          </w:tcPr>
          <w:p w14:paraId="2450E10D">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重点行业领域企业注册安全工程师配备率</w:t>
            </w:r>
          </w:p>
        </w:tc>
        <w:tc>
          <w:tcPr>
            <w:tcW w:w="1387" w:type="dxa"/>
            <w:vAlign w:val="center"/>
          </w:tcPr>
          <w:p w14:paraId="5EB4341F">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100%</w:t>
            </w:r>
          </w:p>
        </w:tc>
        <w:tc>
          <w:tcPr>
            <w:tcW w:w="1115" w:type="dxa"/>
            <w:vAlign w:val="center"/>
          </w:tcPr>
          <w:p w14:paraId="3C7E5FDD">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预期性</w:t>
            </w:r>
          </w:p>
        </w:tc>
      </w:tr>
      <w:tr w14:paraId="0D048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0" w:type="dxa"/>
            <w:vAlign w:val="center"/>
          </w:tcPr>
          <w:p w14:paraId="60266FA8">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13</w:t>
            </w:r>
          </w:p>
        </w:tc>
        <w:tc>
          <w:tcPr>
            <w:tcW w:w="1120" w:type="dxa"/>
            <w:vAlign w:val="center"/>
          </w:tcPr>
          <w:p w14:paraId="6944074D">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本质安全</w:t>
            </w:r>
          </w:p>
        </w:tc>
        <w:tc>
          <w:tcPr>
            <w:tcW w:w="4736" w:type="dxa"/>
            <w:vAlign w:val="center"/>
          </w:tcPr>
          <w:p w14:paraId="72E1445D">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化工（危化品）企业老旧装置更新改造或检测维保率</w:t>
            </w:r>
          </w:p>
        </w:tc>
        <w:tc>
          <w:tcPr>
            <w:tcW w:w="1387" w:type="dxa"/>
            <w:vAlign w:val="center"/>
          </w:tcPr>
          <w:p w14:paraId="3AAD70C0">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≥80%</w:t>
            </w:r>
          </w:p>
        </w:tc>
        <w:tc>
          <w:tcPr>
            <w:tcW w:w="1115" w:type="dxa"/>
            <w:vAlign w:val="center"/>
          </w:tcPr>
          <w:p w14:paraId="18189422">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预期性</w:t>
            </w:r>
          </w:p>
        </w:tc>
      </w:tr>
      <w:tr w14:paraId="5C60E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0" w:type="dxa"/>
            <w:vAlign w:val="center"/>
          </w:tcPr>
          <w:p w14:paraId="09875E6A">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14</w:t>
            </w:r>
          </w:p>
        </w:tc>
        <w:tc>
          <w:tcPr>
            <w:tcW w:w="1120" w:type="dxa"/>
            <w:vMerge w:val="restart"/>
            <w:vAlign w:val="center"/>
          </w:tcPr>
          <w:p w14:paraId="7CE48BA8">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社会共治</w:t>
            </w:r>
          </w:p>
        </w:tc>
        <w:tc>
          <w:tcPr>
            <w:tcW w:w="4736" w:type="dxa"/>
            <w:vAlign w:val="center"/>
          </w:tcPr>
          <w:p w14:paraId="73D19D5F">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安全文化阵地建设数量和阵地活动覆盖人数</w:t>
            </w:r>
          </w:p>
        </w:tc>
        <w:tc>
          <w:tcPr>
            <w:tcW w:w="1387" w:type="dxa"/>
            <w:vAlign w:val="center"/>
          </w:tcPr>
          <w:p w14:paraId="4148D4AF">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上升30%</w:t>
            </w:r>
          </w:p>
        </w:tc>
        <w:tc>
          <w:tcPr>
            <w:tcW w:w="1115" w:type="dxa"/>
            <w:vAlign w:val="center"/>
          </w:tcPr>
          <w:p w14:paraId="463843B5">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预期性</w:t>
            </w:r>
          </w:p>
        </w:tc>
      </w:tr>
      <w:tr w14:paraId="21255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0" w:type="dxa"/>
            <w:vAlign w:val="center"/>
          </w:tcPr>
          <w:p w14:paraId="73456685">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15</w:t>
            </w:r>
          </w:p>
        </w:tc>
        <w:tc>
          <w:tcPr>
            <w:tcW w:w="1120" w:type="dxa"/>
            <w:vMerge w:val="continue"/>
            <w:vAlign w:val="center"/>
          </w:tcPr>
          <w:p w14:paraId="7A05FFFE">
            <w:pPr>
              <w:adjustRightInd w:val="0"/>
              <w:snapToGrid w:val="0"/>
              <w:spacing w:line="240" w:lineRule="auto"/>
              <w:ind w:firstLine="420"/>
              <w:jc w:val="center"/>
              <w:rPr>
                <w:rFonts w:ascii="Times New Roman" w:hAnsi="Times New Roman" w:eastAsia="宋体"/>
                <w:b w:val="0"/>
                <w:bCs/>
                <w:sz w:val="21"/>
                <w:szCs w:val="21"/>
              </w:rPr>
            </w:pPr>
          </w:p>
        </w:tc>
        <w:tc>
          <w:tcPr>
            <w:tcW w:w="4736" w:type="dxa"/>
            <w:vAlign w:val="center"/>
          </w:tcPr>
          <w:p w14:paraId="1B68052C">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安全责任保险投保企业数（其他重点行业领域企业投保安全责险保险数）</w:t>
            </w:r>
          </w:p>
        </w:tc>
        <w:tc>
          <w:tcPr>
            <w:tcW w:w="1387" w:type="dxa"/>
            <w:vAlign w:val="center"/>
          </w:tcPr>
          <w:p w14:paraId="215D028B">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≥8000家</w:t>
            </w:r>
          </w:p>
        </w:tc>
        <w:tc>
          <w:tcPr>
            <w:tcW w:w="1115" w:type="dxa"/>
            <w:vAlign w:val="center"/>
          </w:tcPr>
          <w:p w14:paraId="71834869">
            <w:pPr>
              <w:adjustRightInd w:val="0"/>
              <w:snapToGrid w:val="0"/>
              <w:spacing w:line="240" w:lineRule="auto"/>
              <w:ind w:firstLine="0" w:firstLineChars="0"/>
              <w:jc w:val="center"/>
              <w:rPr>
                <w:rFonts w:ascii="Times New Roman" w:hAnsi="Times New Roman" w:eastAsia="宋体"/>
                <w:b w:val="0"/>
                <w:bCs/>
                <w:sz w:val="21"/>
                <w:szCs w:val="21"/>
              </w:rPr>
            </w:pPr>
            <w:r>
              <w:rPr>
                <w:rFonts w:ascii="Times New Roman" w:hAnsi="Times New Roman" w:eastAsia="宋体"/>
                <w:b w:val="0"/>
                <w:bCs/>
                <w:sz w:val="21"/>
                <w:szCs w:val="21"/>
              </w:rPr>
              <w:t>预期性</w:t>
            </w:r>
          </w:p>
        </w:tc>
      </w:tr>
    </w:tbl>
    <w:p w14:paraId="113AAE68">
      <w:pPr>
        <w:pStyle w:val="2"/>
        <w:adjustRightInd w:val="0"/>
        <w:snapToGrid w:val="0"/>
        <w:spacing w:before="0" w:after="0" w:line="560" w:lineRule="exact"/>
        <w:ind w:firstLine="640"/>
        <w:jc w:val="both"/>
        <w:rPr>
          <w:rFonts w:ascii="Times New Roman" w:hAnsi="Times New Roman" w:eastAsia="黑体"/>
        </w:rPr>
      </w:pPr>
      <w:bookmarkStart w:id="15" w:name="_Toc27748"/>
      <w:r>
        <w:rPr>
          <w:rFonts w:ascii="Times New Roman" w:hAnsi="Times New Roman" w:eastAsia="黑体"/>
        </w:rPr>
        <w:t>三、主要任务</w:t>
      </w:r>
      <w:bookmarkEnd w:id="15"/>
    </w:p>
    <w:p w14:paraId="3A9EE977">
      <w:pPr>
        <w:pStyle w:val="3"/>
        <w:adjustRightInd w:val="0"/>
        <w:snapToGrid w:val="0"/>
        <w:spacing w:before="0" w:after="0" w:line="560" w:lineRule="exact"/>
        <w:ind w:firstLine="640"/>
        <w:rPr>
          <w:rFonts w:ascii="Times New Roman" w:hAnsi="Times New Roman" w:cs="Times New Roman"/>
        </w:rPr>
      </w:pPr>
      <w:bookmarkStart w:id="16" w:name="_Toc23670"/>
      <w:r>
        <w:rPr>
          <w:rFonts w:ascii="Times New Roman" w:hAnsi="Times New Roman" w:eastAsia="楷体_GB2312" w:cs="Times New Roman"/>
        </w:rPr>
        <w:t>（一）完善安全生产治理体系，夯实本质安全根基</w:t>
      </w:r>
      <w:bookmarkEnd w:id="16"/>
    </w:p>
    <w:p w14:paraId="1EEFC083">
      <w:pPr>
        <w:adjustRightInd w:val="0"/>
        <w:snapToGrid w:val="0"/>
        <w:spacing w:line="560" w:lineRule="exact"/>
        <w:ind w:firstLine="641"/>
        <w:jc w:val="both"/>
        <w:rPr>
          <w:rFonts w:ascii="Times New Roman" w:hAnsi="Times New Roman" w:eastAsia="仿宋_GB2312"/>
          <w:b w:val="0"/>
          <w:bCs/>
        </w:rPr>
      </w:pPr>
      <w:r>
        <w:rPr>
          <w:rFonts w:ascii="Times New Roman" w:hAnsi="Times New Roman" w:eastAsia="仿宋_GB2312"/>
        </w:rPr>
        <w:t>1.健全责任体系。</w:t>
      </w:r>
      <w:r>
        <w:rPr>
          <w:rFonts w:ascii="Times New Roman" w:hAnsi="Times New Roman" w:eastAsia="仿宋_GB2312"/>
          <w:b w:val="0"/>
          <w:bCs/>
        </w:rPr>
        <w:t>压实党政领导责任，严格落实党政领导干部安全生产责任制规定，市委常委会会议、市政府常务会议定期研究安全生产工作，实施党政领导干部安全生产挂钩联系和突出问题领办制度，协调解决安全生产和消防安全难点问题。压实部门监管责任，动态研究明确新业态和职能交叉行业领域安全监管责任，健全完善行业领域</w:t>
      </w:r>
      <w:r>
        <w:rPr>
          <w:rFonts w:hint="eastAsia" w:ascii="Times New Roman" w:hAnsi="Times New Roman" w:eastAsia="仿宋_GB2312"/>
          <w:b w:val="0"/>
          <w:bCs/>
        </w:rPr>
        <w:t>“</w:t>
      </w:r>
      <w:r>
        <w:rPr>
          <w:rFonts w:ascii="Times New Roman" w:hAnsi="Times New Roman" w:eastAsia="仿宋_GB2312"/>
          <w:b w:val="0"/>
          <w:bCs/>
        </w:rPr>
        <w:t>四张清单</w:t>
      </w:r>
      <w:r>
        <w:rPr>
          <w:rFonts w:hint="eastAsia" w:ascii="Times New Roman" w:hAnsi="Times New Roman" w:eastAsia="仿宋_GB2312"/>
          <w:b w:val="0"/>
          <w:bCs/>
        </w:rPr>
        <w:t>”</w:t>
      </w:r>
      <w:r>
        <w:rPr>
          <w:rFonts w:ascii="Times New Roman" w:hAnsi="Times New Roman" w:eastAsia="仿宋_GB2312"/>
          <w:b w:val="0"/>
          <w:bCs/>
        </w:rPr>
        <w:t>，强化部门协同联动机制，</w:t>
      </w:r>
      <w:r>
        <w:rPr>
          <w:rFonts w:hint="eastAsia" w:ascii="Times New Roman" w:hAnsi="Times New Roman" w:eastAsia="仿宋_GB2312"/>
          <w:b w:val="0"/>
          <w:bCs/>
        </w:rPr>
        <w:t>加大</w:t>
      </w:r>
      <w:r>
        <w:rPr>
          <w:rFonts w:ascii="Times New Roman" w:hAnsi="Times New Roman" w:eastAsia="仿宋_GB2312"/>
          <w:b w:val="0"/>
          <w:bCs/>
        </w:rPr>
        <w:t>联合会商研判力度，创新治理手段，提升监管合力。压实企业主体责任，推动企业制定完善全员安全生产责任制，健全安全管理组织体系，持续推动企业常态化自查自纠，强化风险辨识管控，保障安全生产投入，提升企业安全治理水平。</w:t>
      </w:r>
    </w:p>
    <w:p w14:paraId="2D1D60AC">
      <w:pPr>
        <w:adjustRightInd w:val="0"/>
        <w:snapToGrid w:val="0"/>
        <w:spacing w:line="560" w:lineRule="exact"/>
        <w:ind w:firstLine="641"/>
        <w:jc w:val="both"/>
        <w:rPr>
          <w:rFonts w:ascii="Times New Roman" w:hAnsi="Times New Roman" w:eastAsia="仿宋_GB2312"/>
          <w:b w:val="0"/>
          <w:bCs/>
          <w:highlight w:val="yellow"/>
          <w:u w:val="single"/>
        </w:rPr>
      </w:pPr>
      <w:r>
        <w:rPr>
          <w:rFonts w:ascii="Times New Roman" w:hAnsi="Times New Roman" w:eastAsia="仿宋_GB2312"/>
        </w:rPr>
        <w:t>2.深化“六化”建设。</w:t>
      </w:r>
      <w:r>
        <w:rPr>
          <w:rFonts w:ascii="Times New Roman" w:hAnsi="Times New Roman" w:eastAsia="仿宋_GB2312"/>
          <w:b w:val="0"/>
          <w:bCs/>
        </w:rPr>
        <w:t>按照</w:t>
      </w:r>
      <w:r>
        <w:rPr>
          <w:rFonts w:hint="eastAsia" w:ascii="Times New Roman" w:hAnsi="Times New Roman" w:eastAsia="仿宋_GB2312"/>
          <w:b w:val="0"/>
          <w:bCs/>
        </w:rPr>
        <w:t>“</w:t>
      </w:r>
      <w:r>
        <w:rPr>
          <w:rFonts w:ascii="Times New Roman" w:hAnsi="Times New Roman" w:eastAsia="仿宋_GB2312"/>
          <w:b w:val="0"/>
          <w:bCs/>
        </w:rPr>
        <w:t>点上示范、线上拓展、面上提升</w:t>
      </w:r>
      <w:r>
        <w:rPr>
          <w:rFonts w:hint="eastAsia" w:ascii="Times New Roman" w:hAnsi="Times New Roman" w:eastAsia="仿宋_GB2312"/>
          <w:b w:val="0"/>
          <w:bCs/>
        </w:rPr>
        <w:t>”</w:t>
      </w:r>
      <w:r>
        <w:rPr>
          <w:rFonts w:ascii="Times New Roman" w:hAnsi="Times New Roman" w:eastAsia="仿宋_GB2312"/>
          <w:b w:val="0"/>
          <w:bCs/>
        </w:rPr>
        <w:t>的工作要求，持续深化部门监管</w:t>
      </w:r>
      <w:r>
        <w:rPr>
          <w:rFonts w:hint="eastAsia" w:ascii="Times New Roman" w:hAnsi="Times New Roman" w:eastAsia="仿宋_GB2312"/>
          <w:b w:val="0"/>
          <w:bCs/>
        </w:rPr>
        <w:t>“</w:t>
      </w:r>
      <w:r>
        <w:rPr>
          <w:rFonts w:ascii="Times New Roman" w:hAnsi="Times New Roman" w:eastAsia="仿宋_GB2312"/>
          <w:b w:val="0"/>
          <w:bCs/>
        </w:rPr>
        <w:t>网格化</w:t>
      </w:r>
      <w:r>
        <w:rPr>
          <w:rFonts w:hint="eastAsia" w:ascii="Times New Roman" w:hAnsi="Times New Roman" w:eastAsia="仿宋_GB2312"/>
          <w:b w:val="0"/>
          <w:bCs/>
        </w:rPr>
        <w:t>”“</w:t>
      </w:r>
      <w:r>
        <w:rPr>
          <w:rFonts w:ascii="Times New Roman" w:hAnsi="Times New Roman" w:eastAsia="仿宋_GB2312"/>
          <w:b w:val="0"/>
          <w:bCs/>
        </w:rPr>
        <w:t>专业化</w:t>
      </w:r>
      <w:r>
        <w:rPr>
          <w:rFonts w:hint="eastAsia" w:ascii="Times New Roman" w:hAnsi="Times New Roman" w:eastAsia="仿宋_GB2312"/>
          <w:b w:val="0"/>
          <w:bCs/>
        </w:rPr>
        <w:t>”“</w:t>
      </w:r>
      <w:r>
        <w:rPr>
          <w:rFonts w:ascii="Times New Roman" w:hAnsi="Times New Roman" w:eastAsia="仿宋_GB2312"/>
          <w:b w:val="0"/>
          <w:bCs/>
        </w:rPr>
        <w:t>数字化</w:t>
      </w:r>
      <w:r>
        <w:rPr>
          <w:rFonts w:hint="eastAsia" w:ascii="Times New Roman" w:hAnsi="Times New Roman" w:eastAsia="仿宋_GB2312"/>
          <w:b w:val="0"/>
          <w:bCs/>
        </w:rPr>
        <w:t>”</w:t>
      </w:r>
      <w:r>
        <w:rPr>
          <w:rFonts w:ascii="Times New Roman" w:hAnsi="Times New Roman" w:eastAsia="仿宋_GB2312"/>
          <w:b w:val="0"/>
          <w:bCs/>
        </w:rPr>
        <w:t>建设，以及企业主体</w:t>
      </w:r>
      <w:r>
        <w:rPr>
          <w:rFonts w:hint="eastAsia" w:ascii="Times New Roman" w:hAnsi="Times New Roman" w:eastAsia="仿宋_GB2312"/>
          <w:b w:val="0"/>
          <w:bCs/>
        </w:rPr>
        <w:t>“</w:t>
      </w:r>
      <w:r>
        <w:rPr>
          <w:rFonts w:ascii="Times New Roman" w:hAnsi="Times New Roman" w:eastAsia="仿宋_GB2312"/>
          <w:b w:val="0"/>
          <w:bCs/>
        </w:rPr>
        <w:t>全员化</w:t>
      </w:r>
      <w:r>
        <w:rPr>
          <w:rFonts w:hint="eastAsia" w:ascii="Times New Roman" w:hAnsi="Times New Roman" w:eastAsia="仿宋_GB2312"/>
          <w:b w:val="0"/>
          <w:bCs/>
        </w:rPr>
        <w:t>”“</w:t>
      </w:r>
      <w:r>
        <w:rPr>
          <w:rFonts w:ascii="Times New Roman" w:hAnsi="Times New Roman" w:eastAsia="仿宋_GB2312"/>
          <w:b w:val="0"/>
          <w:bCs/>
        </w:rPr>
        <w:t>实体化</w:t>
      </w:r>
      <w:r>
        <w:rPr>
          <w:rFonts w:hint="eastAsia" w:ascii="Times New Roman" w:hAnsi="Times New Roman" w:eastAsia="仿宋_GB2312"/>
          <w:b w:val="0"/>
          <w:bCs/>
        </w:rPr>
        <w:t>”“</w:t>
      </w:r>
      <w:r>
        <w:rPr>
          <w:rFonts w:ascii="Times New Roman" w:hAnsi="Times New Roman" w:eastAsia="仿宋_GB2312"/>
          <w:b w:val="0"/>
          <w:bCs/>
        </w:rPr>
        <w:t>手册化</w:t>
      </w:r>
      <w:r>
        <w:rPr>
          <w:rFonts w:hint="eastAsia" w:ascii="Times New Roman" w:hAnsi="Times New Roman" w:eastAsia="仿宋_GB2312"/>
          <w:b w:val="0"/>
          <w:bCs/>
        </w:rPr>
        <w:t>”</w:t>
      </w:r>
      <w:r>
        <w:rPr>
          <w:rFonts w:ascii="Times New Roman" w:hAnsi="Times New Roman" w:eastAsia="仿宋_GB2312"/>
          <w:b w:val="0"/>
          <w:bCs/>
        </w:rPr>
        <w:t>建设，坚持</w:t>
      </w:r>
      <w:r>
        <w:rPr>
          <w:rFonts w:hint="eastAsia" w:ascii="Times New Roman" w:hAnsi="Times New Roman" w:eastAsia="仿宋_GB2312"/>
          <w:b w:val="0"/>
          <w:bCs/>
        </w:rPr>
        <w:t>“</w:t>
      </w:r>
      <w:r>
        <w:rPr>
          <w:rFonts w:ascii="Times New Roman" w:hAnsi="Times New Roman" w:eastAsia="仿宋_GB2312"/>
          <w:b w:val="0"/>
          <w:bCs/>
        </w:rPr>
        <w:t>抓两头、促中间</w:t>
      </w:r>
      <w:r>
        <w:rPr>
          <w:rFonts w:hint="eastAsia" w:ascii="Times New Roman" w:hAnsi="Times New Roman" w:eastAsia="仿宋_GB2312"/>
          <w:b w:val="0"/>
          <w:bCs/>
        </w:rPr>
        <w:t>”</w:t>
      </w:r>
      <w:r>
        <w:rPr>
          <w:rFonts w:ascii="Times New Roman" w:hAnsi="Times New Roman" w:eastAsia="仿宋_GB2312"/>
          <w:b w:val="0"/>
          <w:bCs/>
        </w:rPr>
        <w:t>，强化典型经验推广和落后指导帮扶，整体提升</w:t>
      </w:r>
      <w:r>
        <w:rPr>
          <w:rFonts w:hint="eastAsia" w:ascii="Times New Roman" w:hAnsi="Times New Roman" w:eastAsia="仿宋_GB2312"/>
          <w:b w:val="0"/>
          <w:bCs/>
        </w:rPr>
        <w:t>“</w:t>
      </w:r>
      <w:r>
        <w:rPr>
          <w:rFonts w:ascii="Times New Roman" w:hAnsi="Times New Roman" w:eastAsia="仿宋_GB2312"/>
          <w:b w:val="0"/>
          <w:bCs/>
        </w:rPr>
        <w:t>六化</w:t>
      </w:r>
      <w:r>
        <w:rPr>
          <w:rFonts w:hint="eastAsia" w:ascii="Times New Roman" w:hAnsi="Times New Roman" w:eastAsia="仿宋_GB2312"/>
          <w:b w:val="0"/>
          <w:bCs/>
        </w:rPr>
        <w:t>”</w:t>
      </w:r>
      <w:r>
        <w:rPr>
          <w:rFonts w:ascii="Times New Roman" w:hAnsi="Times New Roman" w:eastAsia="仿宋_GB2312"/>
          <w:b w:val="0"/>
          <w:bCs/>
        </w:rPr>
        <w:t>建设成效，确保安全生产责任落实到基层末梢、落实到每个环节。网格化方面，科学划分网格分布，将工业企业、社会面小场所、其他重点行业领域企业（单位），以及居民住宅等管理服务对象全部纳入网格管理体系，加强网格员规范管理，配齐配强网格专业监管力量，提升网格巡查质效。专业化方面，加强专业监管队伍建设，提升监管人员履职能力水平，要充实完善</w:t>
      </w:r>
      <w:r>
        <w:rPr>
          <w:rFonts w:hint="eastAsia" w:ascii="Times New Roman" w:hAnsi="Times New Roman" w:eastAsia="仿宋_GB2312"/>
          <w:b w:val="0"/>
          <w:bCs/>
        </w:rPr>
        <w:t>“</w:t>
      </w:r>
      <w:r>
        <w:rPr>
          <w:rFonts w:ascii="Times New Roman" w:hAnsi="Times New Roman" w:eastAsia="仿宋_GB2312"/>
          <w:b w:val="0"/>
          <w:bCs/>
        </w:rPr>
        <w:t>智库</w:t>
      </w:r>
      <w:r>
        <w:rPr>
          <w:rFonts w:hint="eastAsia" w:ascii="Times New Roman" w:hAnsi="Times New Roman" w:eastAsia="仿宋_GB2312"/>
          <w:b w:val="0"/>
          <w:bCs/>
        </w:rPr>
        <w:t>”</w:t>
      </w:r>
      <w:r>
        <w:rPr>
          <w:rFonts w:ascii="Times New Roman" w:hAnsi="Times New Roman" w:eastAsia="仿宋_GB2312"/>
          <w:b w:val="0"/>
          <w:bCs/>
        </w:rPr>
        <w:t>力量，加强与大院大所、保险机构、行业协会交流协作，为区域发展提供支撑保障，要实施注册安全工程师队伍培育计划，加大区域内注安师等专业力量配备。数字化方面，持续迭代升级应急</w:t>
      </w:r>
      <w:r>
        <w:rPr>
          <w:rFonts w:hint="eastAsia" w:ascii="Times New Roman" w:hAnsi="Times New Roman" w:eastAsia="仿宋_GB2312"/>
          <w:b w:val="0"/>
          <w:bCs/>
        </w:rPr>
        <w:t>“</w:t>
      </w:r>
      <w:r>
        <w:rPr>
          <w:rFonts w:ascii="Times New Roman" w:hAnsi="Times New Roman" w:eastAsia="仿宋_GB2312"/>
          <w:b w:val="0"/>
          <w:bCs/>
        </w:rPr>
        <w:t>365</w:t>
      </w:r>
      <w:r>
        <w:rPr>
          <w:rFonts w:hint="eastAsia" w:ascii="Times New Roman" w:hAnsi="Times New Roman" w:eastAsia="仿宋_GB2312"/>
          <w:b w:val="0"/>
          <w:bCs/>
        </w:rPr>
        <w:t>”</w:t>
      </w:r>
      <w:r>
        <w:rPr>
          <w:rFonts w:ascii="Times New Roman" w:hAnsi="Times New Roman" w:eastAsia="仿宋_GB2312"/>
          <w:b w:val="0"/>
          <w:bCs/>
        </w:rPr>
        <w:t>综合监管平台，着力打通跨部门、跨层级的信息数据，要积极探索运用</w:t>
      </w:r>
      <w:r>
        <w:rPr>
          <w:rFonts w:hint="eastAsia" w:ascii="Times New Roman" w:hAnsi="Times New Roman" w:eastAsia="仿宋_GB2312"/>
          <w:b w:val="0"/>
          <w:bCs/>
        </w:rPr>
        <w:t>“</w:t>
      </w:r>
      <w:r>
        <w:rPr>
          <w:rFonts w:ascii="Times New Roman" w:hAnsi="Times New Roman" w:eastAsia="仿宋_GB2312"/>
          <w:b w:val="0"/>
          <w:bCs/>
        </w:rPr>
        <w:t>人工智能+</w:t>
      </w:r>
      <w:r>
        <w:rPr>
          <w:rFonts w:hint="eastAsia" w:ascii="Times New Roman" w:hAnsi="Times New Roman" w:eastAsia="仿宋_GB2312"/>
          <w:b w:val="0"/>
          <w:bCs/>
        </w:rPr>
        <w:t>”</w:t>
      </w:r>
      <w:r>
        <w:rPr>
          <w:rFonts w:ascii="Times New Roman" w:hAnsi="Times New Roman" w:eastAsia="仿宋_GB2312"/>
          <w:b w:val="0"/>
          <w:bCs/>
        </w:rPr>
        <w:t>等AI手段，持续拓展畅通</w:t>
      </w:r>
      <w:r>
        <w:rPr>
          <w:rFonts w:hint="eastAsia" w:ascii="Times New Roman" w:hAnsi="Times New Roman" w:eastAsia="仿宋_GB2312"/>
          <w:b w:val="0"/>
          <w:bCs/>
        </w:rPr>
        <w:t>“</w:t>
      </w:r>
      <w:r>
        <w:rPr>
          <w:rFonts w:ascii="Times New Roman" w:hAnsi="Times New Roman" w:eastAsia="仿宋_GB2312"/>
          <w:b w:val="0"/>
          <w:bCs/>
        </w:rPr>
        <w:t>小巧灵</w:t>
      </w:r>
      <w:r>
        <w:rPr>
          <w:rFonts w:hint="eastAsia" w:ascii="Times New Roman" w:hAnsi="Times New Roman" w:eastAsia="仿宋_GB2312"/>
          <w:b w:val="0"/>
          <w:bCs/>
        </w:rPr>
        <w:t>”</w:t>
      </w:r>
      <w:r>
        <w:rPr>
          <w:rFonts w:ascii="Times New Roman" w:hAnsi="Times New Roman" w:eastAsia="仿宋_GB2312"/>
          <w:b w:val="0"/>
          <w:bCs/>
        </w:rPr>
        <w:t>等场景，全力提升数智治理水平。全员化方面，健全全员安全生产责任制，明确从主要负责人到一线从业人员（含劳务派遣人员、实习生等）的责任清单，推进覆盖全员的安全培训教育、应急演练等活动，要推进生产经营单位事故隐患内部报告奖励制度，营造群防群治浓厚氛围。实体化方面，推动生产经营单位按规定设置安全管理机构或配备安全管理人员，推动工业企业安全员AB角配备率、培训覆盖率、纳入管理率实现全覆盖，以及社会面小场所全覆盖落实专、兼职消防安全员配备，指导企业单位加快老旧设备设施更新改造。手册化方面，指导企业单位制定符合企业实际的安全操作规程，编制简单明了、重点突出的</w:t>
      </w:r>
      <w:r>
        <w:rPr>
          <w:rFonts w:hint="eastAsia" w:ascii="Times New Roman" w:hAnsi="Times New Roman" w:eastAsia="仿宋_GB2312"/>
          <w:b w:val="0"/>
          <w:bCs/>
        </w:rPr>
        <w:t>“</w:t>
      </w:r>
      <w:r>
        <w:rPr>
          <w:rFonts w:ascii="Times New Roman" w:hAnsi="Times New Roman" w:eastAsia="仿宋_GB2312"/>
          <w:b w:val="0"/>
          <w:bCs/>
        </w:rPr>
        <w:t>一岗一页</w:t>
      </w:r>
      <w:r>
        <w:rPr>
          <w:rFonts w:hint="eastAsia" w:ascii="Times New Roman" w:hAnsi="Times New Roman" w:eastAsia="仿宋_GB2312"/>
          <w:b w:val="0"/>
          <w:bCs/>
        </w:rPr>
        <w:t>”</w:t>
      </w:r>
      <w:r>
        <w:rPr>
          <w:rFonts w:ascii="Times New Roman" w:hAnsi="Times New Roman" w:eastAsia="仿宋_GB2312"/>
          <w:b w:val="0"/>
          <w:bCs/>
        </w:rPr>
        <w:t>，以及特殊岗位</w:t>
      </w:r>
      <w:r>
        <w:rPr>
          <w:rFonts w:hint="eastAsia" w:ascii="Times New Roman" w:hAnsi="Times New Roman" w:eastAsia="仿宋_GB2312"/>
          <w:b w:val="0"/>
          <w:bCs/>
        </w:rPr>
        <w:t>“</w:t>
      </w:r>
      <w:r>
        <w:rPr>
          <w:rFonts w:ascii="Times New Roman" w:hAnsi="Times New Roman" w:eastAsia="仿宋_GB2312"/>
          <w:b w:val="0"/>
          <w:bCs/>
        </w:rPr>
        <w:t>明白卡</w:t>
      </w:r>
      <w:r>
        <w:rPr>
          <w:rFonts w:hint="eastAsia" w:ascii="Times New Roman" w:hAnsi="Times New Roman" w:eastAsia="仿宋_GB2312"/>
          <w:b w:val="0"/>
          <w:bCs/>
        </w:rPr>
        <w:t>”</w:t>
      </w:r>
      <w:r>
        <w:rPr>
          <w:rFonts w:ascii="Times New Roman" w:hAnsi="Times New Roman" w:eastAsia="仿宋_GB2312"/>
          <w:b w:val="0"/>
          <w:bCs/>
        </w:rPr>
        <w:t>，持续加强各类手册实操实训。</w:t>
      </w:r>
    </w:p>
    <w:p w14:paraId="4928B002">
      <w:pPr>
        <w:adjustRightInd w:val="0"/>
        <w:snapToGrid w:val="0"/>
        <w:spacing w:line="560" w:lineRule="exact"/>
        <w:ind w:firstLine="641"/>
        <w:jc w:val="both"/>
        <w:rPr>
          <w:rFonts w:ascii="Times New Roman" w:hAnsi="Times New Roman" w:eastAsia="仿宋_GB2312"/>
          <w:b w:val="0"/>
          <w:bCs/>
        </w:rPr>
      </w:pPr>
      <w:r>
        <w:rPr>
          <w:rFonts w:ascii="Times New Roman" w:hAnsi="Times New Roman" w:eastAsia="仿宋_GB2312"/>
        </w:rPr>
        <w:t>3.健全源头治理防控体系。</w:t>
      </w:r>
      <w:r>
        <w:rPr>
          <w:rFonts w:ascii="Times New Roman" w:hAnsi="Times New Roman" w:eastAsia="仿宋_GB2312"/>
          <w:b w:val="0"/>
          <w:bCs/>
        </w:rPr>
        <w:t>严把规划安全关、项目准入关、安全设防关。统筹重点行业领域重大项目规划选址，严格高危行业领域建设项目安全审查，动态更新高危产业禁止、限制和控制目录，加强新引进项目安全风险研判，强化低空飞行、自动驾驶等新产业、新业态、新模式伴生衍生的新兴安全风险评估和管控。推动高危产业转型升级，持续推进老旧装置更新改造，积极推广安全生产先进适用工艺、技术和装备。提升智能预警防控水平，持续加快重点行业领域安全风险监测预警系统建设应用，完善企业安全生产风险监测预警系统，依托“智改数转网联”不断提升安全生产精准治理水平。依托城市生命线安全工程建设，聚焦燃气、供水、排水等领域推进基础设施更新改造，强化源头风险管控，筑牢城市安全韧性屏障。</w:t>
      </w:r>
    </w:p>
    <w:p w14:paraId="47273D6D">
      <w:pPr>
        <w:adjustRightInd w:val="0"/>
        <w:snapToGrid w:val="0"/>
        <w:spacing w:line="560" w:lineRule="exact"/>
        <w:ind w:firstLine="641"/>
        <w:jc w:val="both"/>
        <w:rPr>
          <w:rFonts w:ascii="Times New Roman" w:hAnsi="Times New Roman" w:eastAsia="仿宋_GB2312"/>
          <w:b w:val="0"/>
          <w:bCs/>
        </w:rPr>
      </w:pPr>
      <w:r>
        <w:rPr>
          <w:rFonts w:ascii="Times New Roman" w:hAnsi="Times New Roman" w:eastAsia="仿宋_GB2312"/>
        </w:rPr>
        <w:t>4.深化专项整治。</w:t>
      </w:r>
      <w:r>
        <w:rPr>
          <w:rFonts w:ascii="Times New Roman" w:hAnsi="Times New Roman" w:eastAsia="仿宋_GB2312"/>
          <w:b w:val="0"/>
          <w:bCs/>
        </w:rPr>
        <w:t>常态化开展重大事故隐患排查整治，严格落实风险分级管控和隐患排查治理双重预防机制。依托事故隐患警醒警戒警示机制，深化隐患类比排查整治，加强事故隐患信息针对性研判分析，对照重大事故隐患判定标准全面开展排查整治，推动重点行业领域重大事故隐患实现动态清零，切实提升风险隐患排查整改质量。坚持源头管控与综合治理相结合，聚焦危险化学品、消防安全、交通运输、建筑施工等重点行业领域，深化集中攻坚，提升治理质效。严密公共安全监管，推行“一件事”全链条治理模式，推动安全生产监管从单一环节管控向全流程风险防控转变。加快推动各类生产经营单位常态化安全监管责任体系和执法检查机制全面建立健全，促进重点行业领域联合执法机制更加成熟高效，全方位筑牢安全生产坚实防线。</w:t>
      </w:r>
    </w:p>
    <w:tbl>
      <w:tblPr>
        <w:tblStyle w:val="13"/>
        <w:tblW w:w="88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34"/>
      </w:tblGrid>
      <w:tr w14:paraId="6FA18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834" w:type="dxa"/>
            <w:vAlign w:val="center"/>
          </w:tcPr>
          <w:p w14:paraId="1E66D18C">
            <w:pPr>
              <w:ind w:firstLine="0" w:firstLineChars="0"/>
              <w:jc w:val="center"/>
              <w:rPr>
                <w:rFonts w:ascii="Times New Roman" w:hAnsi="Times New Roman"/>
                <w:b w:val="0"/>
                <w:bCs/>
              </w:rPr>
            </w:pPr>
            <w:r>
              <w:rPr>
                <w:rFonts w:ascii="Times New Roman" w:hAnsi="Times New Roman" w:eastAsia="黑体"/>
                <w:b w:val="0"/>
                <w:bCs/>
                <w:sz w:val="28"/>
                <w:szCs w:val="28"/>
              </w:rPr>
              <w:t>专栏1重点行业领域安全生产专项整治</w:t>
            </w:r>
          </w:p>
        </w:tc>
      </w:tr>
      <w:tr w14:paraId="53433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34" w:type="dxa"/>
          </w:tcPr>
          <w:p w14:paraId="0A8DA556">
            <w:pPr>
              <w:adjustRightInd w:val="0"/>
              <w:snapToGrid w:val="0"/>
              <w:spacing w:line="340" w:lineRule="exact"/>
              <w:ind w:firstLine="422"/>
              <w:jc w:val="both"/>
              <w:rPr>
                <w:rFonts w:ascii="Times New Roman" w:hAnsi="Times New Roman" w:eastAsia="宋体"/>
                <w:b w:val="0"/>
                <w:bCs/>
                <w:sz w:val="21"/>
                <w:szCs w:val="21"/>
              </w:rPr>
            </w:pPr>
            <w:r>
              <w:rPr>
                <w:rFonts w:ascii="Times New Roman" w:hAnsi="Times New Roman" w:eastAsia="宋体"/>
                <w:sz w:val="21"/>
                <w:szCs w:val="21"/>
              </w:rPr>
              <w:t>1.化工（危化品）安全：</w:t>
            </w:r>
            <w:r>
              <w:rPr>
                <w:rFonts w:ascii="Times New Roman" w:hAnsi="Times New Roman" w:eastAsia="宋体"/>
                <w:b w:val="0"/>
                <w:bCs/>
                <w:sz w:val="21"/>
                <w:szCs w:val="21"/>
              </w:rPr>
              <w:t>深入开展化工和危险化学品安全生产治本攻坚，严格落实安全风险评估和动态调整机制，推动重大风险防控项目建设。持续推进化工（危化品）企业本质安全水平持续提升和老旧装置更新改造或检测维保。深化“无泄漏”工厂建设，指导企业辨识易腐蚀、易冲刷、易泄漏等风险部位，管控泄漏风险。加强危险化学品生产、储存、运输、使用、经营、废弃处置全链条安全监管，推进危化品生产经营单位分类排查治理，强化风险辨识管控和隐患自查自改。深化“工业互联网+危化安全生产”建设，拓展场景应用和预警管理，持续提升企业双重预防机制数字化建设应用水平。</w:t>
            </w:r>
          </w:p>
          <w:p w14:paraId="1A0556BD">
            <w:pPr>
              <w:adjustRightInd w:val="0"/>
              <w:snapToGrid w:val="0"/>
              <w:spacing w:line="340" w:lineRule="exact"/>
              <w:ind w:firstLine="422"/>
              <w:jc w:val="both"/>
              <w:rPr>
                <w:rFonts w:ascii="Times New Roman" w:hAnsi="Times New Roman" w:eastAsia="宋体"/>
                <w:b w:val="0"/>
                <w:bCs/>
                <w:sz w:val="21"/>
                <w:szCs w:val="21"/>
              </w:rPr>
            </w:pPr>
            <w:r>
              <w:rPr>
                <w:rFonts w:ascii="Times New Roman" w:hAnsi="Times New Roman" w:eastAsia="宋体"/>
                <w:sz w:val="21"/>
                <w:szCs w:val="21"/>
              </w:rPr>
              <w:t>2.冶金工贸安全：</w:t>
            </w:r>
            <w:r>
              <w:rPr>
                <w:rFonts w:ascii="Times New Roman" w:hAnsi="Times New Roman" w:eastAsia="宋体"/>
                <w:b w:val="0"/>
                <w:bCs/>
                <w:sz w:val="21"/>
                <w:szCs w:val="21"/>
              </w:rPr>
              <w:t>聚焦、铝加工（深井铸造）及其他高温熔融金属、粉尘涉爆、有限空间等高风险领域和作业环节，深化重大事故隐患动态清零行动，推动工贸企业建立重大事故隐患自查自改常态化机制。持续开展设备更新改造，推进铝加工（深井铸造）企业使用倾动式熔铸炉、液压式铸造机，推动轻质屋顶改造，推进粉尘涉爆企业采用自动打磨抛光、区域隔离等“减人降尘”措施。在铝加工（深井铸造）、粉尘涉爆企业全面推广应用安全风险监测预警系统，实现所有铝加工（深井铸造）企业以及涉粉作业10人以上的铝镁金属、木质粉尘企业接入系统。组织对重点粉尘和有限空间企业开展“现场教学+专家会诊+复盘培训”指导服务。紧盯逃生通道堵塞、安全出口锁闭、防火间距占用、逃生演练不实等关键重点，持续深化“租赁厂房”安全治理，落实出租方、承租方两个责任，配足配齐“一键报警”装置、智能烟感报警装置、消火栓“三件套”。</w:t>
            </w:r>
          </w:p>
          <w:p w14:paraId="044B0014">
            <w:pPr>
              <w:adjustRightInd w:val="0"/>
              <w:snapToGrid w:val="0"/>
              <w:spacing w:line="340" w:lineRule="exact"/>
              <w:ind w:firstLine="422"/>
              <w:jc w:val="both"/>
              <w:rPr>
                <w:rFonts w:ascii="Times New Roman" w:hAnsi="Times New Roman" w:eastAsia="宋体"/>
                <w:b w:val="0"/>
                <w:bCs/>
                <w:sz w:val="21"/>
                <w:szCs w:val="21"/>
              </w:rPr>
            </w:pPr>
            <w:r>
              <w:rPr>
                <w:rFonts w:ascii="Times New Roman" w:hAnsi="Times New Roman" w:eastAsia="宋体"/>
                <w:sz w:val="21"/>
                <w:szCs w:val="21"/>
              </w:rPr>
              <w:t>3.道路交通安全：</w:t>
            </w:r>
            <w:r>
              <w:rPr>
                <w:rFonts w:ascii="Times New Roman" w:hAnsi="Times New Roman" w:eastAsia="宋体"/>
                <w:b w:val="0"/>
                <w:bCs/>
                <w:sz w:val="21"/>
                <w:szCs w:val="21"/>
              </w:rPr>
              <w:t>持续开展道路交通基础设施安全提升，加强智能传感、AI 预警模型等新技术应用，强化交通运输基础设施的风险监测预警，提升结构、运行安全监测效能。固化拓展“5510”整治工作经验做法，加强科技手段赋能，实现道路本质安全水平与道路通行环境“双提升”。实施“公路医生进乡村”安全专项行动，滚动排查整改全市域交通安全隐患，持续开展事故多发易发路口“微治理”及综合治理。开展农村公路桥梁安全“消危”行动，大力实施农村公路桥梁改造。深化“两客一危”车辆动态监控预警预防能力提升行动，推动县域危险货物道路运输全过程监管，常态</w:t>
            </w:r>
            <w:r>
              <w:rPr>
                <w:rFonts w:hint="eastAsia" w:ascii="Times New Roman" w:hAnsi="Times New Roman" w:eastAsia="宋体"/>
                <w:b w:val="0"/>
                <w:bCs/>
                <w:sz w:val="21"/>
                <w:szCs w:val="21"/>
              </w:rPr>
              <w:t>化</w:t>
            </w:r>
            <w:r>
              <w:rPr>
                <w:rFonts w:ascii="Times New Roman" w:hAnsi="Times New Roman" w:eastAsia="宋体"/>
                <w:b w:val="0"/>
                <w:bCs/>
                <w:sz w:val="21"/>
                <w:szCs w:val="21"/>
              </w:rPr>
              <w:t>开展重点营运车辆动态监测和车辆筛查整治，加快推动老旧营运货车的更新淘汰。持续加强区域性外来车辆、过境车辆交通安全专项整治，持续整治“大吨小标”“百吨王”等安全痼疾。完善交通信号配时优化机制，推动信号优化向精细化、智能化、自适应深度应用转型，提升道路通行效率。</w:t>
            </w:r>
          </w:p>
          <w:p w14:paraId="2286030F">
            <w:pPr>
              <w:adjustRightInd w:val="0"/>
              <w:snapToGrid w:val="0"/>
              <w:spacing w:line="340" w:lineRule="exact"/>
              <w:ind w:firstLine="422"/>
              <w:jc w:val="both"/>
              <w:rPr>
                <w:rFonts w:ascii="Times New Roman" w:hAnsi="Times New Roman" w:eastAsia="宋体"/>
                <w:b w:val="0"/>
                <w:bCs/>
                <w:sz w:val="21"/>
                <w:szCs w:val="21"/>
              </w:rPr>
            </w:pPr>
            <w:r>
              <w:rPr>
                <w:rFonts w:ascii="Times New Roman" w:hAnsi="Times New Roman" w:eastAsia="宋体"/>
                <w:sz w:val="21"/>
                <w:szCs w:val="21"/>
              </w:rPr>
              <w:t>4.既有建筑（自建房）：</w:t>
            </w:r>
            <w:r>
              <w:rPr>
                <w:rFonts w:ascii="Times New Roman" w:hAnsi="Times New Roman" w:eastAsia="宋体"/>
                <w:b w:val="0"/>
                <w:bCs/>
                <w:sz w:val="21"/>
                <w:szCs w:val="21"/>
              </w:rPr>
              <w:t>开展既有建筑安全隐患再排查再整治，重点关注大跨度结构建筑、擅自增加荷载或改变荷载类型的房屋、用作经营的房屋以及人员密集场所等。压紧压实产权人（使用人）主体责任，落实各方监管责任，强化经营性自建房安全管理，摸清全市经营性自建房隐患底数，积极推动采用工程措施整治鉴定为C、D级经营性自建房；推进老旧房屋安全隐患整治专项行动，实施“一房一策”分类整治，严格落实安全管控措施；加强对经营性自建房改扩建和装修工程事前告知和书面承诺行为落实，指导产权人依法申请房屋结构改造安全行政许可。</w:t>
            </w:r>
          </w:p>
          <w:p w14:paraId="710F4F87">
            <w:pPr>
              <w:adjustRightInd w:val="0"/>
              <w:snapToGrid w:val="0"/>
              <w:spacing w:line="340" w:lineRule="exact"/>
              <w:ind w:firstLine="422"/>
              <w:jc w:val="both"/>
              <w:rPr>
                <w:rFonts w:ascii="Times New Roman" w:hAnsi="Times New Roman" w:eastAsia="宋体"/>
                <w:b w:val="0"/>
                <w:bCs/>
                <w:sz w:val="21"/>
                <w:szCs w:val="21"/>
              </w:rPr>
            </w:pPr>
            <w:r>
              <w:rPr>
                <w:rFonts w:ascii="Times New Roman" w:hAnsi="Times New Roman" w:eastAsia="宋体"/>
                <w:sz w:val="21"/>
                <w:szCs w:val="21"/>
              </w:rPr>
              <w:t>5.建筑施工：</w:t>
            </w:r>
            <w:r>
              <w:rPr>
                <w:rFonts w:ascii="Times New Roman" w:hAnsi="Times New Roman" w:eastAsia="宋体"/>
                <w:b w:val="0"/>
                <w:bCs/>
                <w:sz w:val="21"/>
                <w:szCs w:val="21"/>
              </w:rPr>
              <w:t>强化重大危险源监管，落实超危工程专家论证“回头看”制度，遏制重特大事故发生，加强深基坑工程、模板脚手架安全管理，鼓励新开工房屋市政工程外脚手架外立面使用钢板网作为安全立网，加快推进盘扣式脚手架和钢板网的推广应用。持续推进全市建筑机械设备单位实行建筑起重机械“一体化”管理和维保全过程跟踪，拧紧起重机械管理各单位、各环节责任链条。优化质安监管平台，构建“监管部门、参建企业、施工现场”三级联动“智慧监管”体系，围绕安全责任主体、人员“一带一帽”管理、重点部位防护措施等方面开展全面排查检查，动态掌握设施设备使用、重大危险源管控、现场人员考勤等情况，现场管理从“被动监督”变为“主动监控”。</w:t>
            </w:r>
          </w:p>
          <w:p w14:paraId="11F7E41F">
            <w:pPr>
              <w:adjustRightInd w:val="0"/>
              <w:snapToGrid w:val="0"/>
              <w:spacing w:line="340" w:lineRule="exact"/>
              <w:ind w:firstLine="422"/>
              <w:jc w:val="both"/>
              <w:rPr>
                <w:rFonts w:ascii="Times New Roman" w:hAnsi="Times New Roman" w:eastAsia="宋体"/>
                <w:b w:val="0"/>
                <w:bCs/>
                <w:sz w:val="21"/>
                <w:szCs w:val="21"/>
              </w:rPr>
            </w:pPr>
            <w:r>
              <w:rPr>
                <w:rFonts w:ascii="Times New Roman" w:hAnsi="Times New Roman" w:eastAsia="宋体"/>
                <w:sz w:val="21"/>
                <w:szCs w:val="21"/>
              </w:rPr>
              <w:t>6.城镇燃气安全：</w:t>
            </w:r>
            <w:r>
              <w:rPr>
                <w:rFonts w:ascii="Times New Roman" w:hAnsi="Times New Roman" w:eastAsia="宋体"/>
                <w:b w:val="0"/>
                <w:bCs/>
                <w:sz w:val="21"/>
                <w:szCs w:val="21"/>
              </w:rPr>
              <w:t>持续开展城镇燃气领域“一件事”全链条治理，加强第三方施工破坏燃气管道问题整治。持续巩固“瓶改管”“瓶改电”工作成效，不断提升燃气使用本质安全水平。压实燃气经营企业主体责任，督促落实“随瓶安检”“入户安检”制度。持续整治餐饮等人员密集场所使用不符合安全要求的“灶管阀”等隐患，加强不合格“灶管阀”产品溯源查处。全力推进城市生命线安全工程燃气专项全域建设，加快实现燃气管网智慧化管理，着力提升风险感知、提前预警、高效处置能力。</w:t>
            </w:r>
          </w:p>
          <w:p w14:paraId="171D82B8">
            <w:pPr>
              <w:adjustRightInd w:val="0"/>
              <w:snapToGrid w:val="0"/>
              <w:spacing w:line="340" w:lineRule="exact"/>
              <w:ind w:firstLine="422"/>
              <w:jc w:val="both"/>
              <w:rPr>
                <w:rFonts w:ascii="Times New Roman" w:hAnsi="Times New Roman" w:eastAsia="宋体"/>
                <w:b w:val="0"/>
                <w:bCs/>
                <w:sz w:val="21"/>
                <w:szCs w:val="21"/>
              </w:rPr>
            </w:pPr>
            <w:r>
              <w:rPr>
                <w:rFonts w:ascii="Times New Roman" w:hAnsi="Times New Roman" w:eastAsia="宋体"/>
                <w:sz w:val="21"/>
                <w:szCs w:val="21"/>
              </w:rPr>
              <w:t>7.消防安全：</w:t>
            </w:r>
            <w:r>
              <w:rPr>
                <w:rFonts w:ascii="Times New Roman" w:hAnsi="Times New Roman" w:eastAsia="宋体"/>
                <w:b w:val="0"/>
                <w:bCs/>
                <w:sz w:val="21"/>
                <w:szCs w:val="21"/>
              </w:rPr>
              <w:t>持续巩固电动自行车、高层建筑、动火作业、建筑保温材料四大领域“一件事”全链条治理成果，从严把控电动自行车生产、销售、使用、停放、充电、报废回收全流程监管，严厉查处违法违规生产销售、非法拼装改装等突出行为，提速推进停放充电设施建设与安全专项整治，常态化严查违规停放、私拉乱接充电等乱象；稳步推行电气焊设备“加芯赋码”管理，强化“动火作业报备”系统运用，统筹开展建筑保温材料全链条安全管理信息化试点应用；聚焦高层建筑立项、规划、设计、施工建造、竣工验收、日常运维、隐患整改等全生命周期环节，压实源头管控责任，常态化开展消防安全排查整治。深入推进消防“生命通道”畅通专项行动，持续深化“拆窗破网”攻坚整治，及时纠治锁闭安全出口、占用堵塞疏散通道等违法行为，动态整治人员密集场所门窗设置影响逃生和灭火救援的障碍物。扎实开展老旧市场、商业综合体、学校、医院、宗教活动场所、养老机构、护理院、福利院、月子中心等人员密集场所，以及多业态混合生产经营场所消防安全专项整治。从严抓实经营性自建房、老旧小区、“九小场所”、小型餐饮门店消防安全防控，严格落实消防安全刚性管控措施。深化居住领域消防安全综合治理，系统推进居民小区、农村自建房、出租房（群租房）及 “三合一” 场所隐患排查整治，全面筑牢基层消防安全防线。</w:t>
            </w:r>
          </w:p>
          <w:p w14:paraId="7B612A5B">
            <w:pPr>
              <w:adjustRightInd w:val="0"/>
              <w:snapToGrid w:val="0"/>
              <w:spacing w:line="340" w:lineRule="exact"/>
              <w:ind w:firstLine="422"/>
              <w:jc w:val="both"/>
              <w:rPr>
                <w:rFonts w:ascii="Times New Roman" w:hAnsi="Times New Roman"/>
                <w:b w:val="0"/>
                <w:bCs/>
              </w:rPr>
            </w:pPr>
            <w:r>
              <w:rPr>
                <w:rFonts w:ascii="Times New Roman" w:hAnsi="Times New Roman" w:eastAsia="宋体"/>
                <w:sz w:val="21"/>
                <w:szCs w:val="21"/>
              </w:rPr>
              <w:t>8.其他行业领域安全：</w:t>
            </w:r>
            <w:r>
              <w:rPr>
                <w:rFonts w:ascii="Times New Roman" w:hAnsi="Times New Roman" w:eastAsia="宋体"/>
                <w:b w:val="0"/>
                <w:bCs/>
                <w:sz w:val="21"/>
                <w:szCs w:val="21"/>
              </w:rPr>
              <w:t>教育科技领域加强学校实验室和危险化学品安全管理。推进智慧安防校园建设。加强校外培训机构消防安全管理，督促落实消防安全管理九项规定。深化科研机构安全生产信息化管理和双重预防机制建设，加强涉危化品使用智能化监管。民政养老领域完成50张</w:t>
            </w:r>
            <w:r>
              <w:rPr>
                <w:rFonts w:hint="eastAsia" w:ascii="Times New Roman" w:hAnsi="Times New Roman" w:eastAsia="宋体"/>
                <w:b w:val="0"/>
                <w:bCs/>
                <w:sz w:val="21"/>
                <w:szCs w:val="21"/>
              </w:rPr>
              <w:t>（</w:t>
            </w:r>
            <w:r>
              <w:rPr>
                <w:rFonts w:ascii="Times New Roman" w:hAnsi="Times New Roman" w:eastAsia="宋体"/>
                <w:b w:val="0"/>
                <w:bCs/>
                <w:sz w:val="21"/>
                <w:szCs w:val="21"/>
              </w:rPr>
              <w:t>不含</w:t>
            </w:r>
            <w:r>
              <w:rPr>
                <w:rFonts w:hint="eastAsia" w:ascii="Times New Roman" w:hAnsi="Times New Roman" w:eastAsia="宋体"/>
                <w:b w:val="0"/>
                <w:bCs/>
                <w:sz w:val="21"/>
                <w:szCs w:val="21"/>
              </w:rPr>
              <w:t>）</w:t>
            </w:r>
            <w:r>
              <w:rPr>
                <w:rFonts w:ascii="Times New Roman" w:hAnsi="Times New Roman" w:eastAsia="宋体"/>
                <w:b w:val="0"/>
                <w:bCs/>
                <w:sz w:val="21"/>
                <w:szCs w:val="21"/>
              </w:rPr>
              <w:t>以下床位的养老机构消防安全标准化管理达标建设，实现早期火灾报警和灭火装置安装率达到100%。推动100张</w:t>
            </w:r>
            <w:r>
              <w:rPr>
                <w:rFonts w:hint="eastAsia" w:ascii="Times New Roman" w:hAnsi="Times New Roman" w:eastAsia="宋体"/>
                <w:b w:val="0"/>
                <w:bCs/>
                <w:sz w:val="21"/>
                <w:szCs w:val="21"/>
              </w:rPr>
              <w:t>（</w:t>
            </w:r>
            <w:r>
              <w:rPr>
                <w:rFonts w:ascii="Times New Roman" w:hAnsi="Times New Roman" w:eastAsia="宋体"/>
                <w:b w:val="0"/>
                <w:bCs/>
                <w:sz w:val="21"/>
                <w:szCs w:val="21"/>
              </w:rPr>
              <w:t>含</w:t>
            </w:r>
            <w:r>
              <w:rPr>
                <w:rFonts w:hint="eastAsia" w:ascii="Times New Roman" w:hAnsi="Times New Roman" w:eastAsia="宋体"/>
                <w:b w:val="0"/>
                <w:bCs/>
                <w:sz w:val="21"/>
                <w:szCs w:val="21"/>
              </w:rPr>
              <w:t>）</w:t>
            </w:r>
            <w:r>
              <w:rPr>
                <w:rFonts w:ascii="Times New Roman" w:hAnsi="Times New Roman" w:eastAsia="宋体"/>
                <w:b w:val="0"/>
                <w:bCs/>
                <w:sz w:val="21"/>
                <w:szCs w:val="21"/>
              </w:rPr>
              <w:t>以上床位的民政服务机构全部设立微型消防站、组建志愿消防队。人防水利领域开展人防工程安全隐患专项排查，重点加强防空地下室建设审批落实、防空地下室开发利用以及整治人防工程安全隐患。进一步规范推进水利水务生产经营建设单位加强风险管控，加强源头治理。文体广旅领域统筹旅游民宿、A级景区、文体类校外培训机构安全治理，抓好密室逃脱等新业态安全管理，督促完善安全保障条件，落实风险管控和隐患治理措施。完善重大文旅活动及体育赛事工作机制，加强部门协同、安全稳定风险评估、应急熔断等机制建设。油气管道、特种设备领域开展油气长输管道无人机“数字化”巡线，及时排查第三方施工破坏管道及违章占压等安全隐患。开展移动式压力容器隐患排查和电站锅炉安装质量整治。进一步强化老旧电梯安全监管，推进住宅老旧电梯安全评估，做好超长期特别国债支持住宅老旧电梯更新。</w:t>
            </w:r>
          </w:p>
        </w:tc>
      </w:tr>
    </w:tbl>
    <w:p w14:paraId="3D2B89A1">
      <w:pPr>
        <w:adjustRightInd w:val="0"/>
        <w:snapToGrid w:val="0"/>
        <w:spacing w:line="560" w:lineRule="exact"/>
        <w:ind w:firstLine="641"/>
        <w:jc w:val="both"/>
        <w:rPr>
          <w:rFonts w:ascii="Times New Roman" w:hAnsi="Times New Roman" w:eastAsia="仿宋_GB2312"/>
          <w:b w:val="0"/>
          <w:bCs/>
        </w:rPr>
      </w:pPr>
      <w:r>
        <w:rPr>
          <w:rFonts w:ascii="Times New Roman" w:hAnsi="Times New Roman" w:eastAsia="仿宋_GB2312"/>
        </w:rPr>
        <w:t>5.提升安全监管指导效能。</w:t>
      </w:r>
      <w:r>
        <w:rPr>
          <w:rFonts w:ascii="Times New Roman" w:hAnsi="Times New Roman" w:eastAsia="仿宋_GB2312"/>
          <w:b w:val="0"/>
          <w:bCs/>
        </w:rPr>
        <w:t>持续优化基层安全生产和消防“五位一体”工作体系，围绕</w:t>
      </w:r>
      <w:r>
        <w:rPr>
          <w:rFonts w:hint="eastAsia" w:ascii="Times New Roman" w:hAnsi="Times New Roman" w:eastAsia="仿宋_GB2312"/>
          <w:b w:val="0"/>
          <w:bCs/>
        </w:rPr>
        <w:t>“</w:t>
      </w:r>
      <w:r>
        <w:rPr>
          <w:rFonts w:ascii="Times New Roman" w:hAnsi="Times New Roman" w:eastAsia="仿宋_GB2312"/>
          <w:b w:val="0"/>
          <w:bCs/>
        </w:rPr>
        <w:t>职能、队伍、机制</w:t>
      </w:r>
      <w:r>
        <w:rPr>
          <w:rFonts w:hint="eastAsia" w:ascii="Times New Roman" w:hAnsi="Times New Roman" w:eastAsia="仿宋_GB2312"/>
          <w:b w:val="0"/>
          <w:bCs/>
        </w:rPr>
        <w:t>”</w:t>
      </w:r>
      <w:r>
        <w:rPr>
          <w:rFonts w:ascii="Times New Roman" w:hAnsi="Times New Roman" w:eastAsia="仿宋_GB2312"/>
          <w:b w:val="0"/>
          <w:bCs/>
        </w:rPr>
        <w:t>三维融合方向，全面推进落实</w:t>
      </w:r>
      <w:r>
        <w:rPr>
          <w:rFonts w:hint="eastAsia" w:ascii="Times New Roman" w:hAnsi="Times New Roman" w:eastAsia="仿宋_GB2312"/>
          <w:b w:val="0"/>
          <w:bCs/>
        </w:rPr>
        <w:t>“</w:t>
      </w:r>
      <w:r>
        <w:rPr>
          <w:rFonts w:ascii="Times New Roman" w:hAnsi="Times New Roman" w:eastAsia="仿宋_GB2312"/>
          <w:b w:val="0"/>
          <w:bCs/>
        </w:rPr>
        <w:t>233</w:t>
      </w:r>
      <w:r>
        <w:rPr>
          <w:rFonts w:hint="eastAsia" w:ascii="Times New Roman" w:hAnsi="Times New Roman" w:eastAsia="仿宋_GB2312"/>
          <w:b w:val="0"/>
          <w:bCs/>
        </w:rPr>
        <w:t>”</w:t>
      </w:r>
      <w:r>
        <w:rPr>
          <w:rFonts w:ascii="Times New Roman" w:hAnsi="Times New Roman" w:eastAsia="仿宋_GB2312"/>
          <w:b w:val="0"/>
          <w:bCs/>
        </w:rPr>
        <w:t>工作措施，探索推动</w:t>
      </w:r>
      <w:r>
        <w:rPr>
          <w:rFonts w:hint="eastAsia" w:ascii="Times New Roman" w:hAnsi="Times New Roman" w:eastAsia="仿宋_GB2312"/>
          <w:b w:val="0"/>
          <w:bCs/>
        </w:rPr>
        <w:t>“</w:t>
      </w:r>
      <w:r>
        <w:rPr>
          <w:rFonts w:ascii="Times New Roman" w:hAnsi="Times New Roman" w:eastAsia="仿宋_GB2312"/>
          <w:b w:val="0"/>
          <w:bCs/>
        </w:rPr>
        <w:t>五位一体</w:t>
      </w:r>
      <w:r>
        <w:rPr>
          <w:rFonts w:hint="eastAsia" w:ascii="Times New Roman" w:hAnsi="Times New Roman" w:eastAsia="仿宋_GB2312"/>
          <w:b w:val="0"/>
          <w:bCs/>
        </w:rPr>
        <w:t>”</w:t>
      </w:r>
      <w:r>
        <w:rPr>
          <w:rFonts w:ascii="Times New Roman" w:hAnsi="Times New Roman" w:eastAsia="仿宋_GB2312"/>
          <w:b w:val="0"/>
          <w:bCs/>
        </w:rPr>
        <w:t>2.0模式升级。健全完善</w:t>
      </w:r>
      <w:r>
        <w:rPr>
          <w:rFonts w:hint="eastAsia" w:ascii="Times New Roman" w:hAnsi="Times New Roman" w:eastAsia="仿宋_GB2312"/>
          <w:b w:val="0"/>
          <w:bCs/>
        </w:rPr>
        <w:t>“</w:t>
      </w:r>
      <w:r>
        <w:rPr>
          <w:rFonts w:ascii="Times New Roman" w:hAnsi="Times New Roman" w:eastAsia="仿宋_GB2312"/>
          <w:b w:val="0"/>
          <w:bCs/>
        </w:rPr>
        <w:t>5+N</w:t>
      </w:r>
      <w:r>
        <w:rPr>
          <w:rFonts w:hint="eastAsia" w:ascii="Times New Roman" w:hAnsi="Times New Roman" w:eastAsia="仿宋_GB2312"/>
          <w:b w:val="0"/>
          <w:bCs/>
        </w:rPr>
        <w:t>”</w:t>
      </w:r>
      <w:r>
        <w:rPr>
          <w:rFonts w:ascii="Times New Roman" w:hAnsi="Times New Roman" w:eastAsia="仿宋_GB2312"/>
          <w:b w:val="0"/>
          <w:bCs/>
        </w:rPr>
        <w:t>工作机制，结合工作实际，针对不同工作场景组织开展联合研判、联合检查，严格落实</w:t>
      </w:r>
      <w:r>
        <w:rPr>
          <w:rFonts w:hint="eastAsia" w:ascii="Times New Roman" w:hAnsi="Times New Roman" w:eastAsia="仿宋_GB2312"/>
          <w:b w:val="0"/>
          <w:bCs/>
        </w:rPr>
        <w:t>“</w:t>
      </w:r>
      <w:r>
        <w:rPr>
          <w:rFonts w:ascii="Times New Roman" w:hAnsi="Times New Roman" w:eastAsia="仿宋_GB2312"/>
          <w:b w:val="0"/>
          <w:bCs/>
        </w:rPr>
        <w:t>周研判</w:t>
      </w:r>
      <w:r>
        <w:rPr>
          <w:rFonts w:hint="eastAsia" w:ascii="Times New Roman" w:hAnsi="Times New Roman" w:eastAsia="仿宋_GB2312"/>
          <w:b w:val="0"/>
          <w:bCs/>
        </w:rPr>
        <w:t>”</w:t>
      </w:r>
      <w:r>
        <w:rPr>
          <w:rFonts w:ascii="Times New Roman" w:hAnsi="Times New Roman" w:eastAsia="仿宋_GB2312"/>
          <w:b w:val="0"/>
          <w:bCs/>
        </w:rPr>
        <w:t>工作要求，健全完善问题发现、流转、整治、督办全流程管理机制，持续提升安全监管质效。持续优化监管执法队伍建设，探索建立区镇执法队伍稳定发展体制机制，统筹整合市级与区镇安全生产执法力量，推动实现全市安全生产行政执法一体化运行。常态化分级分类组织开展基层安全监管执法人员专业培训，鼓励支持相关人员考取注册安全工程师、注册消防工程师等职业资格。推动科技赋能与安全监管深度融合，依托</w:t>
      </w:r>
      <w:r>
        <w:rPr>
          <w:rFonts w:hint="eastAsia" w:ascii="Times New Roman" w:hAnsi="Times New Roman" w:eastAsia="仿宋_GB2312"/>
          <w:b w:val="0"/>
          <w:bCs/>
        </w:rPr>
        <w:t>“</w:t>
      </w:r>
      <w:r>
        <w:rPr>
          <w:rFonts w:ascii="Times New Roman" w:hAnsi="Times New Roman" w:eastAsia="仿宋_GB2312"/>
          <w:b w:val="0"/>
          <w:bCs/>
        </w:rPr>
        <w:t>综合飞一次</w:t>
      </w:r>
      <w:r>
        <w:rPr>
          <w:rFonts w:hint="eastAsia" w:ascii="Times New Roman" w:hAnsi="Times New Roman" w:eastAsia="仿宋_GB2312"/>
          <w:b w:val="0"/>
          <w:bCs/>
        </w:rPr>
        <w:t>”</w:t>
      </w:r>
      <w:r>
        <w:rPr>
          <w:rFonts w:ascii="Times New Roman" w:hAnsi="Times New Roman" w:eastAsia="仿宋_GB2312"/>
          <w:b w:val="0"/>
          <w:bCs/>
        </w:rPr>
        <w:t>、AI识别技术，落地应用</w:t>
      </w:r>
      <w:r>
        <w:rPr>
          <w:rFonts w:hint="eastAsia" w:ascii="Times New Roman" w:hAnsi="Times New Roman" w:eastAsia="仿宋_GB2312"/>
          <w:b w:val="0"/>
          <w:bCs/>
        </w:rPr>
        <w:t>“</w:t>
      </w:r>
      <w:r>
        <w:rPr>
          <w:rFonts w:ascii="Times New Roman" w:hAnsi="Times New Roman" w:eastAsia="仿宋_GB2312"/>
          <w:b w:val="0"/>
          <w:bCs/>
        </w:rPr>
        <w:t>AI+智能执法助手</w:t>
      </w:r>
      <w:r>
        <w:rPr>
          <w:rFonts w:hint="eastAsia" w:ascii="Times New Roman" w:hAnsi="Times New Roman" w:eastAsia="仿宋_GB2312"/>
          <w:b w:val="0"/>
          <w:bCs/>
        </w:rPr>
        <w:t>”</w:t>
      </w:r>
      <w:r>
        <w:rPr>
          <w:rFonts w:ascii="Times New Roman" w:hAnsi="Times New Roman" w:eastAsia="仿宋_GB2312"/>
          <w:b w:val="0"/>
          <w:bCs/>
        </w:rPr>
        <w:t>，深化拓展</w:t>
      </w:r>
      <w:r>
        <w:rPr>
          <w:rFonts w:hint="eastAsia" w:ascii="Times New Roman" w:hAnsi="Times New Roman" w:eastAsia="仿宋_GB2312"/>
          <w:b w:val="0"/>
          <w:bCs/>
        </w:rPr>
        <w:t>“</w:t>
      </w:r>
      <w:r>
        <w:rPr>
          <w:rFonts w:ascii="Times New Roman" w:hAnsi="Times New Roman" w:eastAsia="仿宋_GB2312"/>
          <w:b w:val="0"/>
          <w:bCs/>
        </w:rPr>
        <w:t>小巧灵</w:t>
      </w:r>
      <w:r>
        <w:rPr>
          <w:rFonts w:hint="eastAsia" w:ascii="Times New Roman" w:hAnsi="Times New Roman" w:eastAsia="仿宋_GB2312"/>
          <w:b w:val="0"/>
          <w:bCs/>
        </w:rPr>
        <w:t>”</w:t>
      </w:r>
      <w:r>
        <w:rPr>
          <w:rFonts w:ascii="Times New Roman" w:hAnsi="Times New Roman" w:eastAsia="仿宋_GB2312"/>
          <w:b w:val="0"/>
          <w:bCs/>
        </w:rPr>
        <w:t>应用场景，大幅提升执法精准度，增强非现场监管效能。</w:t>
      </w:r>
    </w:p>
    <w:p w14:paraId="6A1C0089">
      <w:pPr>
        <w:adjustRightInd w:val="0"/>
        <w:snapToGrid w:val="0"/>
        <w:spacing w:line="560" w:lineRule="exact"/>
        <w:ind w:firstLine="640"/>
        <w:jc w:val="both"/>
        <w:outlineLvl w:val="1"/>
        <w:rPr>
          <w:rFonts w:ascii="Times New Roman" w:hAnsi="Times New Roman" w:eastAsia="楷体_GB2312"/>
          <w:b w:val="0"/>
          <w:bCs/>
        </w:rPr>
      </w:pPr>
      <w:bookmarkStart w:id="17" w:name="_Toc12031"/>
      <w:r>
        <w:rPr>
          <w:rFonts w:ascii="Times New Roman" w:hAnsi="Times New Roman" w:eastAsia="楷体_GB2312"/>
          <w:b w:val="0"/>
          <w:bCs/>
        </w:rPr>
        <w:t>（二）健全防灾减灾救灾机制，筑牢城市安全屏障</w:t>
      </w:r>
      <w:bookmarkEnd w:id="17"/>
    </w:p>
    <w:p w14:paraId="1499DD4C">
      <w:pPr>
        <w:adjustRightInd w:val="0"/>
        <w:snapToGrid w:val="0"/>
        <w:spacing w:line="560" w:lineRule="exact"/>
        <w:ind w:firstLine="641"/>
        <w:jc w:val="both"/>
        <w:rPr>
          <w:rFonts w:ascii="Times New Roman" w:hAnsi="Times New Roman" w:eastAsia="仿宋_GB2312"/>
          <w:b w:val="0"/>
          <w:bCs/>
        </w:rPr>
      </w:pPr>
      <w:r>
        <w:rPr>
          <w:rFonts w:ascii="Times New Roman" w:hAnsi="Times New Roman" w:eastAsia="仿宋_GB2312"/>
        </w:rPr>
        <w:t>1.强化灾害精准识别。</w:t>
      </w:r>
      <w:r>
        <w:rPr>
          <w:rFonts w:ascii="Times New Roman" w:hAnsi="Times New Roman" w:eastAsia="仿宋_GB2312"/>
          <w:b w:val="0"/>
          <w:bCs/>
        </w:rPr>
        <w:t>重点加密多灾易灾地区、人口聚集地区灾害监测设施布设，完善三维立体气象监测网，提升重大天气过程预报预测能力。优化地震观测台网布局，提升昆山整体地震观测水平。深化森林防火基础设施建设，提升森林火灾监测预警体系运行效能。加强地质环境监测网络的运维管护，健全完善</w:t>
      </w:r>
      <w:r>
        <w:rPr>
          <w:rFonts w:hint="eastAsia" w:ascii="Times New Roman" w:hAnsi="Times New Roman" w:eastAsia="仿宋_GB2312"/>
          <w:b w:val="0"/>
          <w:bCs/>
        </w:rPr>
        <w:t>“</w:t>
      </w:r>
      <w:r>
        <w:rPr>
          <w:rFonts w:ascii="Times New Roman" w:hAnsi="Times New Roman" w:eastAsia="仿宋_GB2312"/>
          <w:b w:val="0"/>
          <w:bCs/>
        </w:rPr>
        <w:t>人防+技防+智防</w:t>
      </w:r>
      <w:r>
        <w:rPr>
          <w:rFonts w:hint="eastAsia" w:ascii="Times New Roman" w:hAnsi="Times New Roman" w:eastAsia="仿宋_GB2312"/>
          <w:b w:val="0"/>
          <w:bCs/>
        </w:rPr>
        <w:t>”</w:t>
      </w:r>
      <w:r>
        <w:rPr>
          <w:rFonts w:ascii="Times New Roman" w:hAnsi="Times New Roman" w:eastAsia="仿宋_GB2312"/>
          <w:b w:val="0"/>
          <w:bCs/>
        </w:rPr>
        <w:t>地质灾害监测体系，及时掌握全市地下水位、斜坡变形变化态势。持续完善水文监测网络，加强重点区域水位、雨量监测设施建设，优化防汛视频会商系统，提升洪涝灾害监测精准度。</w:t>
      </w:r>
    </w:p>
    <w:p w14:paraId="520456C8">
      <w:pPr>
        <w:adjustRightInd w:val="0"/>
        <w:snapToGrid w:val="0"/>
        <w:spacing w:line="560" w:lineRule="exact"/>
        <w:ind w:firstLine="641"/>
        <w:jc w:val="both"/>
        <w:rPr>
          <w:rFonts w:ascii="Times New Roman" w:hAnsi="Times New Roman" w:eastAsia="仿宋_GB2312"/>
          <w:b w:val="0"/>
          <w:bCs/>
        </w:rPr>
      </w:pPr>
      <w:r>
        <w:rPr>
          <w:rFonts w:ascii="Times New Roman" w:hAnsi="Times New Roman" w:eastAsia="仿宋_GB2312"/>
        </w:rPr>
        <w:t>2.强化灾情会商研判和预警发布。</w:t>
      </w:r>
      <w:r>
        <w:rPr>
          <w:rFonts w:ascii="Times New Roman" w:hAnsi="Times New Roman" w:eastAsia="仿宋_GB2312"/>
          <w:b w:val="0"/>
          <w:bCs/>
        </w:rPr>
        <w:t>紧盯灾情动态和天气形势，及时组织相关部门开展灾情分析会商，研判自然灾害综合风险走势。依托人工智能、大数据等信息技术，提升监测精密性与预警精准性，健全完善预警信息发布系统。健全重要节点、特殊时段灾害预警信息全网发布机制，优化完善自然灾害靶向预警发布模式，推动预警信息接收处置与应急预案启动、避险疏散安排、应急响应开展有效衔接。深化预警</w:t>
      </w:r>
      <w:r>
        <w:rPr>
          <w:rFonts w:hint="eastAsia" w:ascii="Times New Roman" w:hAnsi="Times New Roman" w:eastAsia="仿宋_GB2312"/>
          <w:b w:val="0"/>
          <w:bCs/>
        </w:rPr>
        <w:t>“</w:t>
      </w:r>
      <w:r>
        <w:rPr>
          <w:rFonts w:ascii="Times New Roman" w:hAnsi="Times New Roman" w:eastAsia="仿宋_GB2312"/>
          <w:b w:val="0"/>
          <w:bCs/>
        </w:rPr>
        <w:t>两直一白</w:t>
      </w:r>
      <w:r>
        <w:rPr>
          <w:rFonts w:hint="eastAsia" w:ascii="Times New Roman" w:hAnsi="Times New Roman" w:eastAsia="仿宋_GB2312"/>
          <w:b w:val="0"/>
          <w:bCs/>
        </w:rPr>
        <w:t>”</w:t>
      </w:r>
      <w:r>
        <w:rPr>
          <w:rFonts w:ascii="Times New Roman" w:hAnsi="Times New Roman" w:eastAsia="仿宋_GB2312"/>
          <w:b w:val="0"/>
          <w:bCs/>
        </w:rPr>
        <w:t>叫应机制，推动极端灾害性天气预警信息直达群众及有关责任人、工作指令直达基层责任人。</w:t>
      </w:r>
    </w:p>
    <w:p w14:paraId="04A8E753">
      <w:pPr>
        <w:adjustRightInd w:val="0"/>
        <w:snapToGrid w:val="0"/>
        <w:spacing w:line="560" w:lineRule="exact"/>
        <w:ind w:firstLine="641"/>
        <w:jc w:val="both"/>
        <w:rPr>
          <w:rFonts w:ascii="Times New Roman" w:hAnsi="Times New Roman" w:eastAsia="仿宋_GB2312"/>
          <w:b w:val="0"/>
          <w:bCs/>
        </w:rPr>
      </w:pPr>
      <w:r>
        <w:rPr>
          <w:rFonts w:ascii="Times New Roman" w:hAnsi="Times New Roman" w:eastAsia="仿宋_GB2312"/>
        </w:rPr>
        <w:t>3.强化风险精准治理。</w:t>
      </w:r>
      <w:r>
        <w:rPr>
          <w:rFonts w:ascii="Times New Roman" w:hAnsi="Times New Roman" w:eastAsia="仿宋_GB2312"/>
          <w:b w:val="0"/>
          <w:bCs/>
        </w:rPr>
        <w:t>加快推进基础设施更新改造，着力推动重点行业领域建立健全项目选址安全评估机制，严格管控区域风险等级和风险容量，切实提升安全韧性。组织开展危旧房屋、易淹易涝点、地质灾害点等风险隐患的全面摸排工作，深入开展多灾易灾区域及关键基础设施的自然灾害风险隐患排查整治，实现灾害隐患的动态管理，及时更新、调查、核定灾害隐患点及风险分布、等级等信息。强化自然灾害综合风险和减灾能力评估，精准部署专业灾害监测手段，建立健全灾害</w:t>
      </w:r>
      <w:r>
        <w:rPr>
          <w:rFonts w:hint="eastAsia" w:ascii="Times New Roman" w:hAnsi="Times New Roman" w:eastAsia="仿宋_GB2312"/>
          <w:b w:val="0"/>
          <w:bCs/>
        </w:rPr>
        <w:t>“</w:t>
      </w:r>
      <w:r>
        <w:rPr>
          <w:rFonts w:ascii="Times New Roman" w:hAnsi="Times New Roman" w:eastAsia="仿宋_GB2312"/>
          <w:b w:val="0"/>
          <w:bCs/>
        </w:rPr>
        <w:t>隐患点+风险区</w:t>
      </w:r>
      <w:r>
        <w:rPr>
          <w:rFonts w:hint="eastAsia" w:ascii="Times New Roman" w:hAnsi="Times New Roman" w:eastAsia="仿宋_GB2312"/>
          <w:b w:val="0"/>
          <w:bCs/>
        </w:rPr>
        <w:t>”</w:t>
      </w:r>
      <w:r>
        <w:rPr>
          <w:rFonts w:ascii="Times New Roman" w:hAnsi="Times New Roman" w:eastAsia="仿宋_GB2312"/>
          <w:b w:val="0"/>
          <w:bCs/>
        </w:rPr>
        <w:t>管理体系，全面提升灾害风险防控水平。扎实推进吴淞江（江苏段）整治工程昆山段、河道整治、不达标堤防整治、老旧站闸改造等项目建设，有效补齐防洪排涝短板；结合城市更新工作，同步推进雨水管渠提标改造，实现积水点的动态消除。</w:t>
      </w:r>
    </w:p>
    <w:p w14:paraId="749404FA">
      <w:pPr>
        <w:adjustRightInd w:val="0"/>
        <w:snapToGrid w:val="0"/>
        <w:spacing w:line="560" w:lineRule="exact"/>
        <w:ind w:firstLine="641"/>
        <w:jc w:val="both"/>
        <w:rPr>
          <w:rFonts w:ascii="Times New Roman" w:hAnsi="Times New Roman" w:eastAsia="仿宋_GB2312"/>
          <w:b w:val="0"/>
          <w:bCs/>
        </w:rPr>
      </w:pPr>
      <w:r>
        <w:rPr>
          <w:rFonts w:ascii="Times New Roman" w:hAnsi="Times New Roman" w:eastAsia="仿宋_GB2312"/>
        </w:rPr>
        <w:t>4.完善抗灾设防保障。</w:t>
      </w:r>
      <w:r>
        <w:rPr>
          <w:rFonts w:ascii="Times New Roman" w:hAnsi="Times New Roman" w:eastAsia="仿宋_GB2312"/>
          <w:b w:val="0"/>
          <w:bCs/>
        </w:rPr>
        <w:t>加强应急避难场所建设与管理维护，统筹利用地上地下空间资源，推动新增公共设施落实平急转换要求，分类设置功能区域，配齐配强应急设施设备，规范应急物资轮换储备。积极争取各级财政资金支持，保障应急避难场所规划建设、管护使用等各项工作落实。持续深化防灾减灾宣传教育和培训，定期组织开展避险演练。针对台风、洪涝等灾害广泛开展防灾减灾和应急救护培训演练，组织推动学校、社区、企业等开展多层级灾害应急演练活动。持续推进堤防、挡墙、水闸、排水管网等城市防洪排涝设施建设，全面提升城市防洪排涝能力；建强防汛抗旱抢险专业队伍，强化培训演练，确保满足防汛抗旱抢险工作需要。</w:t>
      </w:r>
    </w:p>
    <w:p w14:paraId="6F70431E">
      <w:pPr>
        <w:adjustRightInd w:val="0"/>
        <w:snapToGrid w:val="0"/>
        <w:spacing w:line="560" w:lineRule="exact"/>
        <w:ind w:firstLine="641"/>
        <w:jc w:val="both"/>
        <w:rPr>
          <w:rFonts w:ascii="Times New Roman" w:hAnsi="Times New Roman" w:eastAsia="仿宋_GB2312"/>
          <w:b w:val="0"/>
          <w:bCs/>
          <w:highlight w:val="yellow"/>
        </w:rPr>
      </w:pPr>
      <w:r>
        <w:rPr>
          <w:rFonts w:ascii="Times New Roman" w:hAnsi="Times New Roman" w:eastAsia="仿宋_GB2312"/>
        </w:rPr>
        <w:t>5.开展灾后高效救助。</w:t>
      </w:r>
      <w:r>
        <w:rPr>
          <w:rFonts w:ascii="Times New Roman" w:hAnsi="Times New Roman" w:eastAsia="仿宋_GB2312"/>
          <w:b w:val="0"/>
          <w:bCs/>
        </w:rPr>
        <w:t>健全自然灾害救助机制，强化灾前风险减量、灾中应急响应与灾后恢复重建工作联动。及时准确发布灾害应对权威信息，精准开展舆论引导，主动回应社会关切。完善灾害损失评估规程，科学编制灾后恢复重建规划。健全政府与保险机构协同推进机制，推动商业性市场化金融工具参与防灾减灾救灾，构建社会化灾害风险保障体系。持续推广自然灾害民生保险，扩大覆盖范围，提升保障水平。</w:t>
      </w:r>
    </w:p>
    <w:p w14:paraId="12296270">
      <w:pPr>
        <w:pStyle w:val="3"/>
        <w:adjustRightInd w:val="0"/>
        <w:snapToGrid w:val="0"/>
        <w:spacing w:before="0" w:after="0" w:line="560" w:lineRule="exact"/>
        <w:ind w:firstLine="640"/>
        <w:jc w:val="both"/>
        <w:rPr>
          <w:rFonts w:ascii="Times New Roman" w:hAnsi="Times New Roman" w:eastAsia="楷体_GB2312" w:cs="Times New Roman"/>
        </w:rPr>
      </w:pPr>
      <w:bookmarkStart w:id="18" w:name="_Toc4183"/>
      <w:r>
        <w:rPr>
          <w:rFonts w:ascii="Times New Roman" w:hAnsi="Times New Roman" w:eastAsia="楷体_GB2312" w:cs="Times New Roman"/>
        </w:rPr>
        <w:t>（三）夯实应急救援基础保障，提升响应处置效能</w:t>
      </w:r>
      <w:bookmarkEnd w:id="18"/>
    </w:p>
    <w:p w14:paraId="348BF244">
      <w:pPr>
        <w:adjustRightInd w:val="0"/>
        <w:snapToGrid w:val="0"/>
        <w:spacing w:line="560" w:lineRule="exact"/>
        <w:ind w:firstLine="641"/>
        <w:jc w:val="both"/>
        <w:rPr>
          <w:rFonts w:ascii="Times New Roman" w:hAnsi="Times New Roman" w:eastAsia="仿宋_GB2312"/>
          <w:b w:val="0"/>
          <w:bCs/>
          <w:shd w:val="pct10" w:color="auto" w:fill="FFFFFF"/>
        </w:rPr>
      </w:pPr>
      <w:r>
        <w:rPr>
          <w:rFonts w:ascii="Times New Roman" w:hAnsi="Times New Roman" w:eastAsia="仿宋_GB2312"/>
        </w:rPr>
        <w:t>1.完善应急指挥体系。</w:t>
      </w:r>
      <w:r>
        <w:rPr>
          <w:rFonts w:ascii="Times New Roman" w:hAnsi="Times New Roman" w:eastAsia="仿宋_GB2312"/>
          <w:b w:val="0"/>
          <w:bCs/>
        </w:rPr>
        <w:t>严格对照《江苏省市县两级应急指挥部建设指导细则》要求，持续推进昆山市应急指挥部规范化建设。动态开展会商研判与指挥调度，严格落实信息报告工作要求，构建区镇报送、部门共享、舆情监测的信息网络。健全完善应急指挥流程、操作规范和应急响应手册。</w:t>
      </w:r>
    </w:p>
    <w:p w14:paraId="4B9B15A2">
      <w:pPr>
        <w:adjustRightInd w:val="0"/>
        <w:snapToGrid w:val="0"/>
        <w:spacing w:line="560" w:lineRule="exact"/>
        <w:ind w:firstLine="641"/>
        <w:jc w:val="both"/>
        <w:rPr>
          <w:rFonts w:ascii="Times New Roman" w:hAnsi="Times New Roman" w:eastAsia="仿宋_GB2312"/>
          <w:b w:val="0"/>
          <w:bCs/>
        </w:rPr>
      </w:pPr>
      <w:r>
        <w:rPr>
          <w:rFonts w:ascii="Times New Roman" w:hAnsi="Times New Roman" w:eastAsia="仿宋_GB2312"/>
        </w:rPr>
        <w:t>2.加强应急队伍建设。</w:t>
      </w:r>
      <w:r>
        <w:rPr>
          <w:rFonts w:ascii="Times New Roman" w:hAnsi="Times New Roman" w:eastAsia="仿宋_GB2312"/>
          <w:b w:val="0"/>
          <w:bCs/>
        </w:rPr>
        <w:t>构建</w:t>
      </w:r>
      <w:r>
        <w:rPr>
          <w:rFonts w:hint="eastAsia" w:ascii="Times New Roman" w:hAnsi="Times New Roman" w:eastAsia="仿宋_GB2312"/>
          <w:b w:val="0"/>
          <w:bCs/>
        </w:rPr>
        <w:t>“</w:t>
      </w:r>
      <w:r>
        <w:rPr>
          <w:rFonts w:ascii="Times New Roman" w:hAnsi="Times New Roman" w:eastAsia="仿宋_GB2312"/>
          <w:b w:val="0"/>
          <w:bCs/>
        </w:rPr>
        <w:t>队伍多元、协同高效、专常兼备</w:t>
      </w:r>
      <w:r>
        <w:rPr>
          <w:rFonts w:hint="eastAsia" w:ascii="Times New Roman" w:hAnsi="Times New Roman" w:eastAsia="仿宋_GB2312"/>
          <w:b w:val="0"/>
          <w:bCs/>
        </w:rPr>
        <w:t>”</w:t>
      </w:r>
      <w:r>
        <w:rPr>
          <w:rFonts w:ascii="Times New Roman" w:hAnsi="Times New Roman" w:eastAsia="仿宋_GB2312"/>
          <w:b w:val="0"/>
          <w:bCs/>
        </w:rPr>
        <w:t>的应急救援力量总体格局。其中，国家综合性消防救援队伍和政府专职消防救援队伍是应急救援的主力军；解放军、武警部队和民兵是应急救援的突击力量；专业应急救援队伍是应急救援的骨干力量；基层应急队伍是应急救援的先期力量；社会应急救援队伍是应急救援的重要辅助力量；志愿者队伍是应急救援的后备力量。</w:t>
      </w:r>
    </w:p>
    <w:p w14:paraId="4CCBE1BB">
      <w:pPr>
        <w:adjustRightInd w:val="0"/>
        <w:snapToGrid w:val="0"/>
        <w:spacing w:line="560" w:lineRule="exact"/>
        <w:ind w:firstLine="641"/>
        <w:jc w:val="both"/>
        <w:rPr>
          <w:rFonts w:ascii="Times New Roman" w:hAnsi="Times New Roman" w:eastAsia="仿宋_GB2312"/>
          <w:b w:val="0"/>
          <w:bCs/>
        </w:rPr>
      </w:pPr>
      <w:r>
        <w:rPr>
          <w:rFonts w:ascii="Times New Roman" w:hAnsi="Times New Roman" w:eastAsia="仿宋_GB2312"/>
        </w:rPr>
        <w:t>3.加强应急物资储备保障。</w:t>
      </w:r>
      <w:r>
        <w:rPr>
          <w:rFonts w:ascii="Times New Roman" w:hAnsi="Times New Roman" w:eastAsia="仿宋_GB2312"/>
          <w:b w:val="0"/>
          <w:bCs/>
        </w:rPr>
        <w:t>坚持以政府实物储备为主体，科学规划乡镇应急物资储备点布局，规范应急前置点位建设。持续优化应急物资储备管理机制，明确应急物资管理举措，完善储备物资处置制度，有序推进救灾物资增储与轮换工作。加强储备物资动态管控，结合区域人口规模、地理条件、灾害风险等实际情况动态调整储备结构，确保物资储备与应急处置实际需求相匹配。</w:t>
      </w:r>
    </w:p>
    <w:p w14:paraId="79093C52">
      <w:pPr>
        <w:adjustRightInd w:val="0"/>
        <w:snapToGrid w:val="0"/>
        <w:spacing w:line="560" w:lineRule="exact"/>
        <w:ind w:firstLine="641"/>
        <w:jc w:val="both"/>
        <w:rPr>
          <w:rFonts w:ascii="Times New Roman" w:hAnsi="Times New Roman" w:eastAsia="仿宋_GB2312"/>
          <w:b w:val="0"/>
          <w:bCs/>
        </w:rPr>
      </w:pPr>
      <w:r>
        <w:rPr>
          <w:rFonts w:ascii="Times New Roman" w:hAnsi="Times New Roman" w:eastAsia="仿宋_GB2312"/>
        </w:rPr>
        <w:t>4.强化应急通信保障。</w:t>
      </w:r>
      <w:r>
        <w:rPr>
          <w:rFonts w:ascii="Times New Roman" w:hAnsi="Times New Roman" w:eastAsia="仿宋_GB2312"/>
          <w:b w:val="0"/>
          <w:bCs/>
        </w:rPr>
        <w:t>完善应急通信保障机制，强化应急通信保障力量建设，加快构建多领域覆盖、多手段融合的应急通信保障网络。构建以窄带通信系统、卫星通信系统和融合通信系统为一体的现代化应急通信保障格局，确保灾害事故现场与省应急指挥和救援中心联通时间不超过30分钟。配齐通信车、无人机等装备，实现监测感知网络全域覆盖，推动卫星电话、北斗终端等各类终端应用，配齐配强防爆布控球、单兵执法套装等通信保障装备，扩大370MHz无线通信覆盖范围，确保</w:t>
      </w:r>
      <w:r>
        <w:rPr>
          <w:rFonts w:hint="eastAsia" w:ascii="Times New Roman" w:hAnsi="Times New Roman" w:eastAsia="仿宋_GB2312"/>
          <w:b w:val="0"/>
          <w:bCs/>
        </w:rPr>
        <w:t>“</w:t>
      </w:r>
      <w:r>
        <w:rPr>
          <w:rFonts w:ascii="Times New Roman" w:hAnsi="Times New Roman" w:eastAsia="仿宋_GB2312"/>
          <w:b w:val="0"/>
          <w:bCs/>
        </w:rPr>
        <w:t>断路、断网、断电</w:t>
      </w:r>
      <w:r>
        <w:rPr>
          <w:rFonts w:hint="eastAsia" w:ascii="Times New Roman" w:hAnsi="Times New Roman" w:eastAsia="仿宋_GB2312"/>
          <w:b w:val="0"/>
          <w:bCs/>
        </w:rPr>
        <w:t>”</w:t>
      </w:r>
      <w:r>
        <w:rPr>
          <w:rFonts w:ascii="Times New Roman" w:hAnsi="Times New Roman" w:eastAsia="仿宋_GB2312"/>
          <w:b w:val="0"/>
          <w:bCs/>
        </w:rPr>
        <w:t>等极端条件下通信畅通。</w:t>
      </w:r>
    </w:p>
    <w:p w14:paraId="0470A646">
      <w:pPr>
        <w:pStyle w:val="3"/>
        <w:adjustRightInd w:val="0"/>
        <w:snapToGrid w:val="0"/>
        <w:spacing w:before="0" w:after="0" w:line="560" w:lineRule="exact"/>
        <w:ind w:firstLine="640"/>
        <w:jc w:val="both"/>
        <w:rPr>
          <w:rFonts w:ascii="Times New Roman" w:hAnsi="Times New Roman" w:eastAsia="楷体_GB2312" w:cs="Times New Roman"/>
        </w:rPr>
      </w:pPr>
      <w:bookmarkStart w:id="19" w:name="_Toc24035"/>
      <w:r>
        <w:rPr>
          <w:rFonts w:ascii="Times New Roman" w:hAnsi="Times New Roman" w:eastAsia="楷体_GB2312" w:cs="Times New Roman"/>
        </w:rPr>
        <w:t>（四）深化</w:t>
      </w:r>
      <w:r>
        <w:rPr>
          <w:rFonts w:hint="eastAsia" w:ascii="Times New Roman" w:hAnsi="Times New Roman" w:eastAsia="楷体_GB2312" w:cs="Times New Roman"/>
        </w:rPr>
        <w:t>“</w:t>
      </w:r>
      <w:r>
        <w:rPr>
          <w:rFonts w:ascii="Times New Roman" w:hAnsi="Times New Roman" w:eastAsia="楷体_GB2312" w:cs="Times New Roman"/>
        </w:rPr>
        <w:t>智慧应急</w:t>
      </w:r>
      <w:r>
        <w:rPr>
          <w:rFonts w:hint="eastAsia" w:ascii="Times New Roman" w:hAnsi="Times New Roman" w:eastAsia="楷体_GB2312" w:cs="Times New Roman"/>
        </w:rPr>
        <w:t>”</w:t>
      </w:r>
      <w:r>
        <w:rPr>
          <w:rFonts w:ascii="Times New Roman" w:hAnsi="Times New Roman" w:eastAsia="楷体_GB2312" w:cs="Times New Roman"/>
        </w:rPr>
        <w:t>体系建设，推进智慧应急转型</w:t>
      </w:r>
      <w:bookmarkEnd w:id="19"/>
    </w:p>
    <w:p w14:paraId="37031DEE">
      <w:pPr>
        <w:adjustRightInd w:val="0"/>
        <w:snapToGrid w:val="0"/>
        <w:spacing w:line="560" w:lineRule="exact"/>
        <w:ind w:firstLine="641"/>
        <w:jc w:val="both"/>
        <w:rPr>
          <w:rFonts w:ascii="Times New Roman" w:hAnsi="Times New Roman" w:eastAsia="仿宋_GB2312"/>
          <w:b w:val="0"/>
          <w:bCs/>
        </w:rPr>
      </w:pPr>
      <w:bookmarkStart w:id="20" w:name="OLE_LINK1"/>
      <w:r>
        <w:rPr>
          <w:rFonts w:ascii="Times New Roman" w:hAnsi="Times New Roman" w:eastAsia="仿宋_GB2312"/>
        </w:rPr>
        <w:t>1.强化科技赋能。</w:t>
      </w:r>
      <w:bookmarkEnd w:id="20"/>
      <w:r>
        <w:rPr>
          <w:rFonts w:ascii="Times New Roman" w:hAnsi="Times New Roman" w:eastAsia="仿宋_GB2312"/>
          <w:b w:val="0"/>
          <w:bCs/>
        </w:rPr>
        <w:t>以</w:t>
      </w:r>
      <w:r>
        <w:rPr>
          <w:rFonts w:hint="eastAsia" w:ascii="Times New Roman" w:hAnsi="Times New Roman" w:eastAsia="仿宋_GB2312"/>
          <w:b w:val="0"/>
          <w:bCs/>
        </w:rPr>
        <w:t>“</w:t>
      </w:r>
      <w:r>
        <w:rPr>
          <w:rFonts w:ascii="Times New Roman" w:hAnsi="Times New Roman" w:eastAsia="仿宋_GB2312"/>
          <w:b w:val="0"/>
          <w:bCs/>
        </w:rPr>
        <w:t>人工智能+应急管理</w:t>
      </w:r>
      <w:r>
        <w:rPr>
          <w:rFonts w:hint="eastAsia" w:ascii="Times New Roman" w:hAnsi="Times New Roman" w:eastAsia="仿宋_GB2312"/>
          <w:b w:val="0"/>
          <w:bCs/>
        </w:rPr>
        <w:t>”</w:t>
      </w:r>
      <w:r>
        <w:rPr>
          <w:rFonts w:ascii="Times New Roman" w:hAnsi="Times New Roman" w:eastAsia="仿宋_GB2312"/>
          <w:b w:val="0"/>
          <w:bCs/>
        </w:rPr>
        <w:t>为主线，有序推动智能感知、智能预警、智能建议、智能处置全链条应用落地，全面提升政务服务、监测预警、监管执法、指挥决策、现场救援等工作效能。以</w:t>
      </w:r>
      <w:r>
        <w:rPr>
          <w:rFonts w:hint="eastAsia" w:ascii="Times New Roman" w:hAnsi="Times New Roman" w:eastAsia="仿宋_GB2312"/>
          <w:b w:val="0"/>
          <w:bCs/>
        </w:rPr>
        <w:t>“</w:t>
      </w:r>
      <w:r>
        <w:rPr>
          <w:rFonts w:ascii="Times New Roman" w:hAnsi="Times New Roman" w:eastAsia="仿宋_GB2312"/>
          <w:b w:val="0"/>
          <w:bCs/>
        </w:rPr>
        <w:t>应急365</w:t>
      </w:r>
      <w:r>
        <w:rPr>
          <w:rFonts w:hint="eastAsia" w:ascii="Times New Roman" w:hAnsi="Times New Roman" w:eastAsia="仿宋_GB2312"/>
          <w:b w:val="0"/>
          <w:bCs/>
        </w:rPr>
        <w:t>”</w:t>
      </w:r>
      <w:r>
        <w:rPr>
          <w:rFonts w:ascii="Times New Roman" w:hAnsi="Times New Roman" w:eastAsia="仿宋_GB2312"/>
          <w:b w:val="0"/>
          <w:bCs/>
        </w:rPr>
        <w:t>平台为核心，深化数据汇聚治理与共享应用，持续提升平台数据赋能水平，强化</w:t>
      </w:r>
      <w:r>
        <w:rPr>
          <w:rFonts w:hint="eastAsia" w:ascii="Times New Roman" w:hAnsi="Times New Roman" w:eastAsia="仿宋_GB2312"/>
          <w:b w:val="0"/>
          <w:bCs/>
        </w:rPr>
        <w:t>“</w:t>
      </w:r>
      <w:r>
        <w:rPr>
          <w:rFonts w:ascii="Times New Roman" w:hAnsi="Times New Roman" w:eastAsia="仿宋_GB2312"/>
          <w:b w:val="0"/>
          <w:bCs/>
        </w:rPr>
        <w:t>人工智能+</w:t>
      </w:r>
      <w:r>
        <w:rPr>
          <w:rFonts w:hint="eastAsia" w:ascii="Times New Roman" w:hAnsi="Times New Roman" w:eastAsia="仿宋_GB2312"/>
          <w:b w:val="0"/>
          <w:bCs/>
        </w:rPr>
        <w:t>”</w:t>
      </w:r>
      <w:r>
        <w:rPr>
          <w:rFonts w:ascii="Times New Roman" w:hAnsi="Times New Roman" w:eastAsia="仿宋_GB2312"/>
          <w:b w:val="0"/>
          <w:bCs/>
        </w:rPr>
        <w:t>场景在企业安全生产管理领域的应用。丰富</w:t>
      </w:r>
      <w:r>
        <w:rPr>
          <w:rFonts w:hint="eastAsia" w:ascii="Times New Roman" w:hAnsi="Times New Roman" w:eastAsia="仿宋_GB2312"/>
          <w:b w:val="0"/>
          <w:bCs/>
        </w:rPr>
        <w:t>“</w:t>
      </w:r>
      <w:r>
        <w:rPr>
          <w:rFonts w:ascii="Times New Roman" w:hAnsi="Times New Roman" w:eastAsia="仿宋_GB2312"/>
          <w:b w:val="0"/>
          <w:bCs/>
        </w:rPr>
        <w:t>小巧灵</w:t>
      </w:r>
      <w:r>
        <w:rPr>
          <w:rFonts w:hint="eastAsia" w:ascii="Times New Roman" w:hAnsi="Times New Roman" w:eastAsia="仿宋_GB2312"/>
          <w:b w:val="0"/>
          <w:bCs/>
        </w:rPr>
        <w:t>”</w:t>
      </w:r>
      <w:r>
        <w:rPr>
          <w:rFonts w:ascii="Times New Roman" w:hAnsi="Times New Roman" w:eastAsia="仿宋_GB2312"/>
          <w:b w:val="0"/>
          <w:bCs/>
        </w:rPr>
        <w:t>数字化场景应用，持续推广</w:t>
      </w:r>
      <w:r>
        <w:rPr>
          <w:rFonts w:hint="eastAsia" w:ascii="Times New Roman" w:hAnsi="Times New Roman" w:eastAsia="仿宋_GB2312"/>
          <w:b w:val="0"/>
          <w:bCs/>
        </w:rPr>
        <w:t>“</w:t>
      </w:r>
      <w:r>
        <w:rPr>
          <w:rFonts w:ascii="Times New Roman" w:hAnsi="Times New Roman" w:eastAsia="仿宋_GB2312"/>
          <w:b w:val="0"/>
          <w:bCs/>
        </w:rPr>
        <w:t>昆能充</w:t>
      </w:r>
      <w:r>
        <w:rPr>
          <w:rFonts w:hint="eastAsia" w:ascii="Times New Roman" w:hAnsi="Times New Roman" w:eastAsia="仿宋_GB2312"/>
          <w:b w:val="0"/>
          <w:bCs/>
        </w:rPr>
        <w:t>”“</w:t>
      </w:r>
      <w:r>
        <w:rPr>
          <w:rFonts w:ascii="Times New Roman" w:hAnsi="Times New Roman" w:eastAsia="仿宋_GB2312"/>
          <w:b w:val="0"/>
          <w:bCs/>
        </w:rPr>
        <w:t>智行充</w:t>
      </w:r>
      <w:r>
        <w:rPr>
          <w:rFonts w:hint="eastAsia" w:ascii="Times New Roman" w:hAnsi="Times New Roman" w:eastAsia="仿宋_GB2312"/>
          <w:b w:val="0"/>
          <w:bCs/>
        </w:rPr>
        <w:t>”“</w:t>
      </w:r>
      <w:r>
        <w:rPr>
          <w:rFonts w:ascii="Times New Roman" w:hAnsi="Times New Roman" w:eastAsia="仿宋_GB2312"/>
          <w:b w:val="0"/>
          <w:bCs/>
        </w:rPr>
        <w:t>一梯通管</w:t>
      </w:r>
      <w:r>
        <w:rPr>
          <w:rFonts w:hint="eastAsia" w:ascii="Times New Roman" w:hAnsi="Times New Roman" w:eastAsia="仿宋_GB2312"/>
          <w:b w:val="0"/>
          <w:bCs/>
        </w:rPr>
        <w:t>”“</w:t>
      </w:r>
      <w:r>
        <w:rPr>
          <w:rFonts w:ascii="Times New Roman" w:hAnsi="Times New Roman" w:eastAsia="仿宋_GB2312"/>
          <w:b w:val="0"/>
          <w:bCs/>
        </w:rPr>
        <w:t>苏芯焊</w:t>
      </w:r>
      <w:r>
        <w:rPr>
          <w:rFonts w:hint="eastAsia" w:ascii="Times New Roman" w:hAnsi="Times New Roman" w:eastAsia="仿宋_GB2312"/>
          <w:b w:val="0"/>
          <w:bCs/>
        </w:rPr>
        <w:t>”</w:t>
      </w:r>
      <w:r>
        <w:rPr>
          <w:rFonts w:ascii="Times New Roman" w:hAnsi="Times New Roman" w:eastAsia="仿宋_GB2312"/>
          <w:b w:val="0"/>
          <w:bCs/>
        </w:rPr>
        <w:t>等应用，探索AI+无人机智能巡查等场景运用，实现智能识别预警。推动</w:t>
      </w:r>
      <w:r>
        <w:rPr>
          <w:rFonts w:hint="eastAsia" w:ascii="Times New Roman" w:hAnsi="Times New Roman" w:eastAsia="仿宋_GB2312"/>
          <w:b w:val="0"/>
          <w:bCs/>
        </w:rPr>
        <w:t>“</w:t>
      </w:r>
      <w:r>
        <w:rPr>
          <w:rFonts w:ascii="Times New Roman" w:hAnsi="Times New Roman" w:eastAsia="仿宋_GB2312"/>
          <w:b w:val="0"/>
          <w:bCs/>
        </w:rPr>
        <w:t>AI+智能执法助手</w:t>
      </w:r>
      <w:r>
        <w:rPr>
          <w:rFonts w:hint="eastAsia" w:ascii="Times New Roman" w:hAnsi="Times New Roman" w:eastAsia="仿宋_GB2312"/>
          <w:b w:val="0"/>
          <w:bCs/>
        </w:rPr>
        <w:t>”</w:t>
      </w:r>
      <w:r>
        <w:rPr>
          <w:rFonts w:ascii="Times New Roman" w:hAnsi="Times New Roman" w:eastAsia="仿宋_GB2312"/>
          <w:b w:val="0"/>
          <w:bCs/>
        </w:rPr>
        <w:t>落地应用，提升执法精准度。打造AI智慧交管中枢，推动实现交通拥堵疏解自动化、轻微事故快处视频化。</w:t>
      </w:r>
    </w:p>
    <w:p w14:paraId="066EF1E3">
      <w:pPr>
        <w:adjustRightInd w:val="0"/>
        <w:snapToGrid w:val="0"/>
        <w:spacing w:line="560" w:lineRule="exact"/>
        <w:ind w:firstLine="641"/>
        <w:jc w:val="both"/>
        <w:rPr>
          <w:rFonts w:ascii="Times New Roman" w:hAnsi="Times New Roman" w:eastAsia="仿宋_GB2312"/>
          <w:b w:val="0"/>
          <w:bCs/>
        </w:rPr>
      </w:pPr>
      <w:r>
        <w:rPr>
          <w:rFonts w:ascii="Times New Roman" w:hAnsi="Times New Roman" w:eastAsia="仿宋_GB2312"/>
        </w:rPr>
        <w:t>2.构建智能感知预警网络。</w:t>
      </w:r>
      <w:r>
        <w:rPr>
          <w:rFonts w:ascii="Times New Roman" w:hAnsi="Times New Roman" w:eastAsia="仿宋_GB2312"/>
          <w:b w:val="0"/>
          <w:bCs/>
          <w:kern w:val="44"/>
        </w:rPr>
        <w:t>深化科技兴安，推动大数据、物联网、人工智能等现代科技在安全生产监管领域深度应用，提升风险监测预警和精准执法能力。</w:t>
      </w:r>
      <w:r>
        <w:rPr>
          <w:rFonts w:ascii="Times New Roman" w:hAnsi="Times New Roman" w:eastAsia="仿宋_GB2312"/>
          <w:b w:val="0"/>
          <w:bCs/>
        </w:rPr>
        <w:t>以全域风险感知体系为支撑，构建覆盖重点行业领域的智能监测监控平台。深化城市生命线、公共安全、安全生产、自然灾害等领域与苏州市城市安全风险综合监测预警平台的数据共享、资源支撑。推进重点行业领域视频AI分析预警系统建设，强化AI大模型推广应用。持续推进城市生命线安全工程建设，在全市域扩大前端感知设备覆盖范围。强化既有交通基础设施风险监测预警，提升既有交通基础设施结构、运行安全监测效能。</w:t>
      </w:r>
    </w:p>
    <w:p w14:paraId="64B49DA2">
      <w:pPr>
        <w:adjustRightInd w:val="0"/>
        <w:snapToGrid w:val="0"/>
        <w:spacing w:line="560" w:lineRule="exact"/>
        <w:ind w:firstLine="641"/>
        <w:jc w:val="both"/>
        <w:rPr>
          <w:rFonts w:ascii="Times New Roman" w:hAnsi="Times New Roman" w:eastAsia="仿宋_GB2312"/>
          <w:b w:val="0"/>
          <w:bCs/>
          <w:strike/>
        </w:rPr>
      </w:pPr>
      <w:r>
        <w:rPr>
          <w:rFonts w:ascii="Times New Roman" w:hAnsi="Times New Roman" w:eastAsia="仿宋_GB2312"/>
        </w:rPr>
        <w:t>3.推动企业数字化转型。</w:t>
      </w:r>
      <w:r>
        <w:rPr>
          <w:rFonts w:ascii="Times New Roman" w:hAnsi="Times New Roman" w:eastAsia="仿宋_GB2312"/>
          <w:b w:val="0"/>
          <w:bCs/>
        </w:rPr>
        <w:t>以企业智能化改造、数字化转型为重要抓手，着力提升企业安全管理能力和本质安全水平。统筹推进安全风险感知网络建设，强化高危企业异常生产行为监测预警，实现全要素风险综合监测预警、智能态势分析、闭环动态管控。深入推进</w:t>
      </w:r>
      <w:r>
        <w:rPr>
          <w:rFonts w:hint="eastAsia" w:ascii="Times New Roman" w:hAnsi="Times New Roman" w:eastAsia="仿宋_GB2312"/>
          <w:b w:val="0"/>
          <w:bCs/>
        </w:rPr>
        <w:t>“</w:t>
      </w:r>
      <w:r>
        <w:rPr>
          <w:rFonts w:ascii="Times New Roman" w:hAnsi="Times New Roman" w:eastAsia="仿宋_GB2312"/>
          <w:b w:val="0"/>
          <w:bCs/>
        </w:rPr>
        <w:t>工业互联网+安全生产</w:t>
      </w:r>
      <w:r>
        <w:rPr>
          <w:rFonts w:hint="eastAsia" w:ascii="Times New Roman" w:hAnsi="Times New Roman" w:eastAsia="仿宋_GB2312"/>
          <w:b w:val="0"/>
          <w:bCs/>
        </w:rPr>
        <w:t>”</w:t>
      </w:r>
      <w:r>
        <w:rPr>
          <w:rFonts w:ascii="Times New Roman" w:hAnsi="Times New Roman" w:eastAsia="仿宋_GB2312"/>
          <w:b w:val="0"/>
          <w:bCs/>
        </w:rPr>
        <w:t>建设，强化重点行业领域安全风险监测预警，推动实现重大危险源企业双重预防机制数字化全覆盖。</w:t>
      </w:r>
    </w:p>
    <w:p w14:paraId="6A9100D7">
      <w:pPr>
        <w:adjustRightInd w:val="0"/>
        <w:snapToGrid w:val="0"/>
        <w:spacing w:line="560" w:lineRule="exact"/>
        <w:ind w:firstLine="641"/>
        <w:jc w:val="both"/>
        <w:rPr>
          <w:rFonts w:ascii="Times New Roman" w:hAnsi="Times New Roman" w:eastAsia="仿宋_GB2312"/>
          <w:b w:val="0"/>
          <w:bCs/>
        </w:rPr>
      </w:pPr>
      <w:r>
        <w:rPr>
          <w:rFonts w:ascii="Times New Roman" w:hAnsi="Times New Roman" w:eastAsia="仿宋_GB2312"/>
        </w:rPr>
        <w:t>4.加强应急专业人才培养。</w:t>
      </w:r>
      <w:r>
        <w:rPr>
          <w:rFonts w:ascii="Times New Roman" w:hAnsi="Times New Roman" w:eastAsia="仿宋_GB2312"/>
          <w:b w:val="0"/>
          <w:bCs/>
        </w:rPr>
        <w:t>加强市、区镇两级党政领导干部安全生产专题培训，定期组织安全监管干部及工作人员开展分级分类培训。依托</w:t>
      </w:r>
      <w:r>
        <w:rPr>
          <w:rFonts w:hint="eastAsia" w:ascii="Times New Roman" w:hAnsi="Times New Roman" w:eastAsia="仿宋_GB2312"/>
          <w:b w:val="0"/>
          <w:bCs/>
        </w:rPr>
        <w:t>“</w:t>
      </w:r>
      <w:r>
        <w:rPr>
          <w:rFonts w:ascii="Times New Roman" w:hAnsi="Times New Roman" w:eastAsia="仿宋_GB2312"/>
          <w:b w:val="0"/>
          <w:bCs/>
        </w:rPr>
        <w:t>理论学习+以查代训</w:t>
      </w:r>
      <w:r>
        <w:rPr>
          <w:rFonts w:hint="eastAsia" w:ascii="Times New Roman" w:hAnsi="Times New Roman" w:eastAsia="仿宋_GB2312"/>
          <w:b w:val="0"/>
          <w:bCs/>
        </w:rPr>
        <w:t>”</w:t>
      </w:r>
      <w:r>
        <w:rPr>
          <w:rFonts w:ascii="Times New Roman" w:hAnsi="Times New Roman" w:eastAsia="仿宋_GB2312"/>
          <w:b w:val="0"/>
          <w:bCs/>
        </w:rPr>
        <w:t>模式，提升基层网格员专业素养。发挥安全联盟行业优势，整合优质培训资源，开展定制化培训，切实增强从业人员安全意识与应急处置能力。组织开展助企惠民宣安送安系列主题活动，强化区镇安全学校区域培训中心功能，完成安全生产考试点规范化达标建设。实施注册安全工程师队伍提升行动，持续推进注册安全工程师队伍建设。深化与高校、科研院所合作，建立健全</w:t>
      </w:r>
      <w:r>
        <w:rPr>
          <w:rFonts w:hint="eastAsia" w:ascii="Times New Roman" w:hAnsi="Times New Roman" w:eastAsia="仿宋_GB2312"/>
          <w:b w:val="0"/>
          <w:bCs/>
        </w:rPr>
        <w:t>“</w:t>
      </w:r>
      <w:r>
        <w:rPr>
          <w:rFonts w:ascii="Times New Roman" w:hAnsi="Times New Roman" w:eastAsia="仿宋_GB2312"/>
          <w:b w:val="0"/>
          <w:bCs/>
        </w:rPr>
        <w:t>政产学研用</w:t>
      </w:r>
      <w:r>
        <w:rPr>
          <w:rFonts w:hint="eastAsia" w:ascii="Times New Roman" w:hAnsi="Times New Roman" w:eastAsia="仿宋_GB2312"/>
          <w:b w:val="0"/>
          <w:bCs/>
        </w:rPr>
        <w:t>”</w:t>
      </w:r>
      <w:r>
        <w:rPr>
          <w:rFonts w:ascii="Times New Roman" w:hAnsi="Times New Roman" w:eastAsia="仿宋_GB2312"/>
          <w:b w:val="0"/>
          <w:bCs/>
        </w:rPr>
        <w:t>协同育人机制，大力培养复合型应急管理人才。试行</w:t>
      </w:r>
      <w:r>
        <w:rPr>
          <w:rFonts w:hint="eastAsia" w:ascii="Times New Roman" w:hAnsi="Times New Roman" w:eastAsia="仿宋_GB2312"/>
          <w:b w:val="0"/>
          <w:bCs/>
        </w:rPr>
        <w:t>“</w:t>
      </w:r>
      <w:r>
        <w:rPr>
          <w:rFonts w:ascii="Times New Roman" w:hAnsi="Times New Roman" w:eastAsia="仿宋_GB2312"/>
          <w:b w:val="0"/>
          <w:bCs/>
        </w:rPr>
        <w:t>专家带徒</w:t>
      </w:r>
      <w:r>
        <w:rPr>
          <w:rFonts w:hint="eastAsia" w:ascii="Times New Roman" w:hAnsi="Times New Roman" w:eastAsia="仿宋_GB2312"/>
          <w:b w:val="0"/>
          <w:bCs/>
        </w:rPr>
        <w:t>”</w:t>
      </w:r>
      <w:r>
        <w:rPr>
          <w:rFonts w:ascii="Times New Roman" w:hAnsi="Times New Roman" w:eastAsia="仿宋_GB2312"/>
          <w:b w:val="0"/>
          <w:bCs/>
        </w:rPr>
        <w:t>培养模式，鼓励各板块采用安全管家模式，聘请专家为企业提供指导服务。</w:t>
      </w:r>
    </w:p>
    <w:p w14:paraId="21F57CD3">
      <w:pPr>
        <w:pStyle w:val="3"/>
        <w:adjustRightInd w:val="0"/>
        <w:snapToGrid w:val="0"/>
        <w:spacing w:before="0" w:after="0" w:line="560" w:lineRule="exact"/>
        <w:ind w:firstLine="640"/>
        <w:jc w:val="both"/>
        <w:rPr>
          <w:rFonts w:ascii="Times New Roman" w:hAnsi="Times New Roman" w:eastAsia="楷体_GB2312" w:cs="Times New Roman"/>
        </w:rPr>
      </w:pPr>
      <w:bookmarkStart w:id="21" w:name="_Toc27446"/>
      <w:r>
        <w:rPr>
          <w:rFonts w:ascii="Times New Roman" w:hAnsi="Times New Roman" w:eastAsia="楷体_GB2312" w:cs="Times New Roman"/>
        </w:rPr>
        <w:t>（</w:t>
      </w:r>
      <w:r>
        <w:rPr>
          <w:rFonts w:hint="eastAsia" w:ascii="Times New Roman" w:hAnsi="Times New Roman" w:eastAsia="楷体_GB2312" w:cs="Times New Roman"/>
        </w:rPr>
        <w:t>五</w:t>
      </w:r>
      <w:r>
        <w:rPr>
          <w:rFonts w:ascii="Times New Roman" w:hAnsi="Times New Roman" w:eastAsia="楷体_GB2312" w:cs="Times New Roman"/>
        </w:rPr>
        <w:t>）完善社会共治共享体系，提升全民防范能力</w:t>
      </w:r>
      <w:bookmarkEnd w:id="21"/>
    </w:p>
    <w:p w14:paraId="7003EC30">
      <w:pPr>
        <w:adjustRightInd w:val="0"/>
        <w:snapToGrid w:val="0"/>
        <w:spacing w:line="560" w:lineRule="exact"/>
        <w:ind w:firstLine="641"/>
        <w:jc w:val="both"/>
        <w:rPr>
          <w:rFonts w:ascii="Times New Roman" w:hAnsi="Times New Roman" w:eastAsia="仿宋_GB2312"/>
          <w:b w:val="0"/>
          <w:bCs/>
        </w:rPr>
      </w:pPr>
      <w:r>
        <w:rPr>
          <w:rFonts w:ascii="Times New Roman" w:hAnsi="Times New Roman" w:eastAsia="仿宋_GB2312"/>
        </w:rPr>
        <w:t>1.凝聚社会共识。</w:t>
      </w:r>
      <w:r>
        <w:rPr>
          <w:rFonts w:ascii="Times New Roman" w:hAnsi="Times New Roman" w:eastAsia="仿宋_GB2312"/>
          <w:b w:val="0"/>
          <w:bCs/>
        </w:rPr>
        <w:t>实施</w:t>
      </w:r>
      <w:r>
        <w:rPr>
          <w:rFonts w:hint="eastAsia" w:ascii="Times New Roman" w:hAnsi="Times New Roman" w:eastAsia="仿宋_GB2312"/>
          <w:b w:val="0"/>
          <w:bCs/>
        </w:rPr>
        <w:t>“</w:t>
      </w:r>
      <w:r>
        <w:rPr>
          <w:rFonts w:ascii="Times New Roman" w:hAnsi="Times New Roman" w:eastAsia="仿宋_GB2312"/>
          <w:b w:val="0"/>
          <w:bCs/>
        </w:rPr>
        <w:t>避险技能+1</w:t>
      </w:r>
      <w:r>
        <w:rPr>
          <w:rFonts w:hint="eastAsia" w:ascii="Times New Roman" w:hAnsi="Times New Roman" w:eastAsia="仿宋_GB2312"/>
          <w:b w:val="0"/>
          <w:bCs/>
        </w:rPr>
        <w:t>”</w:t>
      </w:r>
      <w:r>
        <w:rPr>
          <w:rFonts w:ascii="Times New Roman" w:hAnsi="Times New Roman" w:eastAsia="仿宋_GB2312"/>
          <w:b w:val="0"/>
          <w:bCs/>
        </w:rPr>
        <w:t>行动和城市安全融入计划，通过系统实施</w:t>
      </w:r>
      <w:r>
        <w:rPr>
          <w:rFonts w:hint="eastAsia" w:ascii="Times New Roman" w:hAnsi="Times New Roman" w:eastAsia="仿宋_GB2312"/>
          <w:b w:val="0"/>
          <w:bCs/>
        </w:rPr>
        <w:t>“</w:t>
      </w:r>
      <w:r>
        <w:rPr>
          <w:rFonts w:ascii="Times New Roman" w:hAnsi="Times New Roman" w:eastAsia="仿宋_GB2312"/>
          <w:b w:val="0"/>
          <w:bCs/>
        </w:rPr>
        <w:t>5个1</w:t>
      </w:r>
      <w:r>
        <w:rPr>
          <w:rFonts w:hint="eastAsia" w:ascii="Times New Roman" w:hAnsi="Times New Roman" w:eastAsia="仿宋_GB2312"/>
          <w:b w:val="0"/>
          <w:bCs/>
        </w:rPr>
        <w:t>”</w:t>
      </w:r>
      <w:r>
        <w:rPr>
          <w:rFonts w:ascii="Times New Roman" w:hAnsi="Times New Roman" w:eastAsia="仿宋_GB2312"/>
          <w:b w:val="0"/>
          <w:bCs/>
        </w:rPr>
        <w:t>工程，即动态更新一张</w:t>
      </w:r>
      <w:r>
        <w:rPr>
          <w:rFonts w:hint="eastAsia" w:ascii="Times New Roman" w:hAnsi="Times New Roman" w:eastAsia="仿宋_GB2312"/>
          <w:b w:val="0"/>
          <w:bCs/>
        </w:rPr>
        <w:t>“</w:t>
      </w:r>
      <w:r>
        <w:rPr>
          <w:rFonts w:ascii="Times New Roman" w:hAnsi="Times New Roman" w:eastAsia="仿宋_GB2312"/>
          <w:b w:val="0"/>
          <w:bCs/>
        </w:rPr>
        <w:t>核心避险技能</w:t>
      </w:r>
      <w:r>
        <w:rPr>
          <w:rFonts w:hint="eastAsia" w:ascii="Times New Roman" w:hAnsi="Times New Roman" w:eastAsia="仿宋_GB2312"/>
          <w:b w:val="0"/>
          <w:bCs/>
        </w:rPr>
        <w:t>”</w:t>
      </w:r>
      <w:r>
        <w:rPr>
          <w:rFonts w:ascii="Times New Roman" w:hAnsi="Times New Roman" w:eastAsia="仿宋_GB2312"/>
          <w:b w:val="0"/>
          <w:bCs/>
        </w:rPr>
        <w:t>指引清单，搭建一组</w:t>
      </w:r>
      <w:r>
        <w:rPr>
          <w:rFonts w:hint="eastAsia" w:ascii="Times New Roman" w:hAnsi="Times New Roman" w:eastAsia="仿宋_GB2312"/>
          <w:b w:val="0"/>
          <w:bCs/>
        </w:rPr>
        <w:t>“</w:t>
      </w:r>
      <w:r>
        <w:rPr>
          <w:rFonts w:ascii="Times New Roman" w:hAnsi="Times New Roman" w:eastAsia="仿宋_GB2312"/>
          <w:b w:val="0"/>
          <w:bCs/>
        </w:rPr>
        <w:t>应急科普主力军</w:t>
      </w:r>
      <w:r>
        <w:rPr>
          <w:rFonts w:hint="eastAsia" w:ascii="Times New Roman" w:hAnsi="Times New Roman" w:eastAsia="仿宋_GB2312"/>
          <w:b w:val="0"/>
          <w:bCs/>
        </w:rPr>
        <w:t>”</w:t>
      </w:r>
      <w:r>
        <w:rPr>
          <w:rFonts w:ascii="Times New Roman" w:hAnsi="Times New Roman" w:eastAsia="仿宋_GB2312"/>
          <w:b w:val="0"/>
          <w:bCs/>
        </w:rPr>
        <w:t>阵地队伍，开展一系列</w:t>
      </w:r>
      <w:r>
        <w:rPr>
          <w:rFonts w:hint="eastAsia" w:ascii="Times New Roman" w:hAnsi="Times New Roman" w:eastAsia="仿宋_GB2312"/>
          <w:b w:val="0"/>
          <w:bCs/>
        </w:rPr>
        <w:t>“</w:t>
      </w:r>
      <w:r>
        <w:rPr>
          <w:rFonts w:ascii="Times New Roman" w:hAnsi="Times New Roman" w:eastAsia="仿宋_GB2312"/>
          <w:b w:val="0"/>
          <w:bCs/>
        </w:rPr>
        <w:t>避险技能+1</w:t>
      </w:r>
      <w:r>
        <w:rPr>
          <w:rFonts w:hint="eastAsia" w:ascii="Times New Roman" w:hAnsi="Times New Roman" w:eastAsia="仿宋_GB2312"/>
          <w:b w:val="0"/>
          <w:bCs/>
        </w:rPr>
        <w:t>”</w:t>
      </w:r>
      <w:r>
        <w:rPr>
          <w:rFonts w:ascii="Times New Roman" w:hAnsi="Times New Roman" w:eastAsia="仿宋_GB2312"/>
          <w:b w:val="0"/>
          <w:bCs/>
        </w:rPr>
        <w:t>挑战活动，制作一批</w:t>
      </w:r>
      <w:r>
        <w:rPr>
          <w:rFonts w:hint="eastAsia" w:ascii="Times New Roman" w:hAnsi="Times New Roman" w:eastAsia="仿宋_GB2312"/>
          <w:b w:val="0"/>
          <w:bCs/>
        </w:rPr>
        <w:t>“</w:t>
      </w:r>
      <w:r>
        <w:rPr>
          <w:rFonts w:ascii="Times New Roman" w:hAnsi="Times New Roman" w:eastAsia="仿宋_GB2312"/>
          <w:b w:val="0"/>
          <w:bCs/>
        </w:rPr>
        <w:t>关键时刻能救命</w:t>
      </w:r>
      <w:r>
        <w:rPr>
          <w:rFonts w:hint="eastAsia" w:ascii="Times New Roman" w:hAnsi="Times New Roman" w:eastAsia="仿宋_GB2312"/>
          <w:b w:val="0"/>
          <w:bCs/>
        </w:rPr>
        <w:t>”</w:t>
      </w:r>
      <w:r>
        <w:rPr>
          <w:rFonts w:ascii="Times New Roman" w:hAnsi="Times New Roman" w:eastAsia="仿宋_GB2312"/>
          <w:b w:val="0"/>
          <w:bCs/>
        </w:rPr>
        <w:t>主题作品，推进一组</w:t>
      </w:r>
      <w:r>
        <w:rPr>
          <w:rFonts w:hint="eastAsia" w:ascii="Times New Roman" w:hAnsi="Times New Roman" w:eastAsia="仿宋_GB2312"/>
          <w:b w:val="0"/>
          <w:bCs/>
        </w:rPr>
        <w:t>“</w:t>
      </w:r>
      <w:r>
        <w:rPr>
          <w:rFonts w:ascii="Times New Roman" w:hAnsi="Times New Roman" w:eastAsia="仿宋_GB2312"/>
          <w:b w:val="0"/>
          <w:bCs/>
        </w:rPr>
        <w:t>全城传播</w:t>
      </w:r>
      <w:r>
        <w:rPr>
          <w:rFonts w:hint="eastAsia" w:ascii="Times New Roman" w:hAnsi="Times New Roman" w:eastAsia="仿宋_GB2312"/>
          <w:b w:val="0"/>
          <w:bCs/>
        </w:rPr>
        <w:t>”</w:t>
      </w:r>
      <w:r>
        <w:rPr>
          <w:rFonts w:ascii="Times New Roman" w:hAnsi="Times New Roman" w:eastAsia="仿宋_GB2312"/>
          <w:b w:val="0"/>
          <w:bCs/>
        </w:rPr>
        <w:t>渗透计划，将安全文化融入城市建设，助力市民每年多掌握一项避险技能，促进公众安全教育实现从</w:t>
      </w:r>
      <w:r>
        <w:rPr>
          <w:rFonts w:hint="eastAsia" w:ascii="Times New Roman" w:hAnsi="Times New Roman" w:eastAsia="仿宋_GB2312"/>
          <w:b w:val="0"/>
          <w:bCs/>
        </w:rPr>
        <w:t>“</w:t>
      </w:r>
      <w:r>
        <w:rPr>
          <w:rFonts w:ascii="Times New Roman" w:hAnsi="Times New Roman" w:eastAsia="仿宋_GB2312"/>
          <w:b w:val="0"/>
          <w:bCs/>
        </w:rPr>
        <w:t>提意识、浓氛围</w:t>
      </w:r>
      <w:r>
        <w:rPr>
          <w:rFonts w:hint="eastAsia" w:ascii="Times New Roman" w:hAnsi="Times New Roman" w:eastAsia="仿宋_GB2312"/>
          <w:b w:val="0"/>
          <w:bCs/>
        </w:rPr>
        <w:t>”</w:t>
      </w:r>
      <w:r>
        <w:rPr>
          <w:rFonts w:ascii="Times New Roman" w:hAnsi="Times New Roman" w:eastAsia="仿宋_GB2312"/>
          <w:b w:val="0"/>
          <w:bCs/>
        </w:rPr>
        <w:t>向</w:t>
      </w:r>
      <w:r>
        <w:rPr>
          <w:rFonts w:hint="eastAsia" w:ascii="Times New Roman" w:hAnsi="Times New Roman" w:eastAsia="仿宋_GB2312"/>
          <w:b w:val="0"/>
          <w:bCs/>
        </w:rPr>
        <w:t>“</w:t>
      </w:r>
      <w:r>
        <w:rPr>
          <w:rFonts w:ascii="Times New Roman" w:hAnsi="Times New Roman" w:eastAsia="仿宋_GB2312"/>
          <w:b w:val="0"/>
          <w:bCs/>
        </w:rPr>
        <w:t>学技能、会避险</w:t>
      </w:r>
      <w:r>
        <w:rPr>
          <w:rFonts w:hint="eastAsia" w:ascii="Times New Roman" w:hAnsi="Times New Roman" w:eastAsia="仿宋_GB2312"/>
          <w:b w:val="0"/>
          <w:bCs/>
        </w:rPr>
        <w:t>”</w:t>
      </w:r>
      <w:r>
        <w:rPr>
          <w:rFonts w:ascii="Times New Roman" w:hAnsi="Times New Roman" w:eastAsia="仿宋_GB2312"/>
          <w:b w:val="0"/>
          <w:bCs/>
        </w:rPr>
        <w:t>转变。</w:t>
      </w:r>
    </w:p>
    <w:p w14:paraId="048F5EAB">
      <w:pPr>
        <w:adjustRightInd w:val="0"/>
        <w:snapToGrid w:val="0"/>
        <w:spacing w:line="560" w:lineRule="exact"/>
        <w:ind w:firstLine="641"/>
        <w:jc w:val="both"/>
        <w:rPr>
          <w:rFonts w:ascii="Times New Roman" w:hAnsi="Times New Roman" w:eastAsia="仿宋_GB2312"/>
          <w:b w:val="0"/>
          <w:bCs/>
        </w:rPr>
      </w:pPr>
      <w:r>
        <w:rPr>
          <w:rFonts w:ascii="Times New Roman" w:hAnsi="Times New Roman" w:eastAsia="仿宋_GB2312"/>
        </w:rPr>
        <w:t>2.实施专业共管。</w:t>
      </w:r>
      <w:r>
        <w:rPr>
          <w:rFonts w:ascii="Times New Roman" w:hAnsi="Times New Roman" w:eastAsia="仿宋_GB2312"/>
          <w:b w:val="0"/>
          <w:bCs/>
        </w:rPr>
        <w:t>加快安全生产责任保险扩面提质，更大力度发挥保险公司、专业机构事故预防服务工作质效，实体化运行安责险风险防控服务中心，出台事故预防服务标准，提升服务质量，以市场化方式治理安全风险，更好发挥保险机构参与风险评估管控和事故预防功能。交通工程领域依托安责险的事故预防服务功能，整合多方资源，共同打造一站式产业工人培训基地，强化产业工人安全轮训。</w:t>
      </w:r>
    </w:p>
    <w:p w14:paraId="0563D8EE">
      <w:pPr>
        <w:adjustRightInd w:val="0"/>
        <w:snapToGrid w:val="0"/>
        <w:spacing w:line="560" w:lineRule="exact"/>
        <w:ind w:firstLine="641"/>
        <w:jc w:val="both"/>
        <w:rPr>
          <w:rFonts w:ascii="Times New Roman" w:hAnsi="Times New Roman" w:eastAsia="仿宋_GB2312"/>
          <w:b w:val="0"/>
          <w:bCs/>
        </w:rPr>
      </w:pPr>
      <w:bookmarkStart w:id="22" w:name="OLE_LINK4"/>
      <w:bookmarkStart w:id="23" w:name="OLE_LINK5"/>
      <w:r>
        <w:rPr>
          <w:rFonts w:ascii="Times New Roman" w:hAnsi="Times New Roman" w:eastAsia="仿宋_GB2312"/>
        </w:rPr>
        <w:t>3.完善参与机制。</w:t>
      </w:r>
      <w:r>
        <w:rPr>
          <w:rFonts w:ascii="Times New Roman" w:hAnsi="Times New Roman" w:eastAsia="仿宋_GB2312"/>
          <w:b w:val="0"/>
          <w:bCs/>
        </w:rPr>
        <w:t>建立应急管理公众参与平台，开通隐患上报、建议征集等渠道；健全公共安全举报奖励机制，推进生产经营单位事故隐患内部报告奖励制度，对提供有效信息的人员给予奖励；引导鼓励企业、社会组织参与应急捐赠、应急培训等活动。推动各类媒体常态化曝光典型事故、违法案例和风险隐患，着力营造全民参与、群防群治、社会共治的浓厚氛围。</w:t>
      </w:r>
    </w:p>
    <w:bookmarkEnd w:id="22"/>
    <w:bookmarkEnd w:id="23"/>
    <w:p w14:paraId="7E39D4BA">
      <w:pPr>
        <w:pStyle w:val="2"/>
        <w:adjustRightInd w:val="0"/>
        <w:snapToGrid w:val="0"/>
        <w:spacing w:before="0" w:after="0" w:line="560" w:lineRule="exact"/>
        <w:ind w:firstLine="640"/>
        <w:jc w:val="both"/>
        <w:rPr>
          <w:rFonts w:ascii="Times New Roman" w:hAnsi="Times New Roman" w:eastAsia="黑体"/>
        </w:rPr>
      </w:pPr>
      <w:bookmarkStart w:id="24" w:name="_Toc16712"/>
      <w:r>
        <w:rPr>
          <w:rFonts w:ascii="Times New Roman" w:hAnsi="Times New Roman" w:eastAsia="黑体"/>
        </w:rPr>
        <w:t>四、重点工程</w:t>
      </w:r>
      <w:bookmarkEnd w:id="24"/>
    </w:p>
    <w:p w14:paraId="1FEEB313">
      <w:pPr>
        <w:pStyle w:val="3"/>
        <w:adjustRightInd w:val="0"/>
        <w:snapToGrid w:val="0"/>
        <w:spacing w:before="0" w:after="0" w:line="560" w:lineRule="exact"/>
        <w:ind w:firstLine="640"/>
        <w:jc w:val="both"/>
        <w:rPr>
          <w:rFonts w:ascii="Times New Roman" w:hAnsi="Times New Roman" w:eastAsia="楷体_GB2312" w:cs="Times New Roman"/>
        </w:rPr>
      </w:pPr>
      <w:bookmarkStart w:id="25" w:name="_Toc25889"/>
      <w:r>
        <w:rPr>
          <w:rFonts w:ascii="Times New Roman" w:hAnsi="Times New Roman" w:eastAsia="楷体_GB2312" w:cs="Times New Roman"/>
        </w:rPr>
        <w:t>（一）安全风险防控能力提升工程</w:t>
      </w:r>
      <w:bookmarkEnd w:id="25"/>
    </w:p>
    <w:p w14:paraId="130F1AC5">
      <w:pPr>
        <w:adjustRightInd w:val="0"/>
        <w:snapToGrid w:val="0"/>
        <w:spacing w:line="560" w:lineRule="exact"/>
        <w:ind w:firstLine="641"/>
        <w:jc w:val="both"/>
        <w:rPr>
          <w:rFonts w:ascii="Times New Roman" w:hAnsi="Times New Roman" w:eastAsia="仿宋_GB2312"/>
        </w:rPr>
      </w:pPr>
      <w:r>
        <w:rPr>
          <w:rFonts w:ascii="Times New Roman" w:hAnsi="Times New Roman" w:eastAsia="仿宋_GB2312"/>
        </w:rPr>
        <w:t>1.</w:t>
      </w:r>
      <w:r>
        <w:rPr>
          <w:rFonts w:hint="eastAsia" w:ascii="Times New Roman" w:hAnsi="Times New Roman" w:eastAsia="仿宋_GB2312"/>
        </w:rPr>
        <w:t>“</w:t>
      </w:r>
      <w:r>
        <w:rPr>
          <w:rFonts w:ascii="Times New Roman" w:hAnsi="Times New Roman" w:eastAsia="仿宋_GB2312"/>
        </w:rPr>
        <w:t>五位一体</w:t>
      </w:r>
      <w:r>
        <w:rPr>
          <w:rFonts w:hint="eastAsia" w:ascii="Times New Roman" w:hAnsi="Times New Roman" w:eastAsia="仿宋_GB2312"/>
        </w:rPr>
        <w:t>”</w:t>
      </w:r>
      <w:r>
        <w:rPr>
          <w:rFonts w:ascii="Times New Roman" w:hAnsi="Times New Roman" w:eastAsia="仿宋_GB2312"/>
        </w:rPr>
        <w:t>工作体系提质增效工程</w:t>
      </w:r>
    </w:p>
    <w:p w14:paraId="3976AAF1">
      <w:pPr>
        <w:adjustRightInd w:val="0"/>
        <w:snapToGrid w:val="0"/>
        <w:spacing w:line="560" w:lineRule="exact"/>
        <w:ind w:firstLine="640"/>
        <w:jc w:val="both"/>
        <w:rPr>
          <w:rFonts w:ascii="Times New Roman" w:hAnsi="Times New Roman" w:eastAsia="仿宋_GB2312"/>
          <w:b w:val="0"/>
          <w:bCs/>
        </w:rPr>
      </w:pPr>
      <w:r>
        <w:rPr>
          <w:rFonts w:ascii="Times New Roman" w:hAnsi="Times New Roman" w:eastAsia="仿宋_GB2312"/>
          <w:b w:val="0"/>
          <w:bCs/>
        </w:rPr>
        <w:t>持续深化拓展</w:t>
      </w:r>
      <w:r>
        <w:rPr>
          <w:rFonts w:hint="eastAsia" w:ascii="Times New Roman" w:hAnsi="Times New Roman" w:eastAsia="仿宋_GB2312"/>
          <w:b w:val="0"/>
          <w:bCs/>
        </w:rPr>
        <w:t>“</w:t>
      </w:r>
      <w:r>
        <w:rPr>
          <w:rFonts w:ascii="Times New Roman" w:hAnsi="Times New Roman" w:eastAsia="仿宋_GB2312"/>
          <w:b w:val="0"/>
          <w:bCs/>
        </w:rPr>
        <w:t>五位一体</w:t>
      </w:r>
      <w:r>
        <w:rPr>
          <w:rFonts w:hint="eastAsia" w:ascii="Times New Roman" w:hAnsi="Times New Roman" w:eastAsia="仿宋_GB2312"/>
          <w:b w:val="0"/>
          <w:bCs/>
        </w:rPr>
        <w:t>”</w:t>
      </w:r>
      <w:r>
        <w:rPr>
          <w:rFonts w:ascii="Times New Roman" w:hAnsi="Times New Roman" w:eastAsia="仿宋_GB2312"/>
          <w:b w:val="0"/>
          <w:bCs/>
        </w:rPr>
        <w:t>工作成效，优化市级统筹协调机制，强化顶层设计与系统谋划，探索设立市级安全生产和消防</w:t>
      </w:r>
      <w:r>
        <w:rPr>
          <w:rFonts w:hint="eastAsia" w:ascii="Times New Roman" w:hAnsi="Times New Roman" w:eastAsia="仿宋_GB2312"/>
          <w:b w:val="0"/>
          <w:bCs/>
        </w:rPr>
        <w:t>“</w:t>
      </w:r>
      <w:r>
        <w:rPr>
          <w:rFonts w:ascii="Times New Roman" w:hAnsi="Times New Roman" w:eastAsia="仿宋_GB2312"/>
          <w:b w:val="0"/>
          <w:bCs/>
        </w:rPr>
        <w:t>五位一体</w:t>
      </w:r>
      <w:r>
        <w:rPr>
          <w:rFonts w:hint="eastAsia" w:ascii="Times New Roman" w:hAnsi="Times New Roman" w:eastAsia="仿宋_GB2312"/>
          <w:b w:val="0"/>
          <w:bCs/>
        </w:rPr>
        <w:t>”</w:t>
      </w:r>
      <w:r>
        <w:rPr>
          <w:rFonts w:ascii="Times New Roman" w:hAnsi="Times New Roman" w:eastAsia="仿宋_GB2312"/>
          <w:b w:val="0"/>
          <w:bCs/>
        </w:rPr>
        <w:t>工作体系提质增效工作专班，下设专班办公室（市一体办）并推动规范运行，统一归口指导管理区镇一体办工作，构建形成</w:t>
      </w:r>
      <w:r>
        <w:rPr>
          <w:rFonts w:hint="eastAsia" w:ascii="Times New Roman" w:hAnsi="Times New Roman" w:eastAsia="仿宋_GB2312"/>
          <w:b w:val="0"/>
          <w:bCs/>
        </w:rPr>
        <w:t>“</w:t>
      </w:r>
      <w:r>
        <w:rPr>
          <w:rFonts w:ascii="Times New Roman" w:hAnsi="Times New Roman" w:eastAsia="仿宋_GB2312"/>
          <w:b w:val="0"/>
          <w:bCs/>
        </w:rPr>
        <w:t>一个口子进、分头落实、统一督办</w:t>
      </w:r>
      <w:r>
        <w:rPr>
          <w:rFonts w:hint="eastAsia" w:ascii="Times New Roman" w:hAnsi="Times New Roman" w:eastAsia="仿宋_GB2312"/>
          <w:b w:val="0"/>
          <w:bCs/>
        </w:rPr>
        <w:t>”</w:t>
      </w:r>
      <w:r>
        <w:rPr>
          <w:rFonts w:ascii="Times New Roman" w:hAnsi="Times New Roman" w:eastAsia="仿宋_GB2312"/>
          <w:b w:val="0"/>
          <w:bCs/>
        </w:rPr>
        <w:t>的工作格局。理顺协同运行管理格局，完善市一体办、5个市级安全生产议事协调机构（安委办、消委办、减灾办、森防办、331专班）与区镇一体办上下贯通的工作机制，提升体系整体运行效率。统一明确工作标准要求，聚焦任务数据贯通、最小单元打通、职责分工清晰等方面，建立</w:t>
      </w:r>
      <w:r>
        <w:rPr>
          <w:rFonts w:hint="eastAsia" w:ascii="Times New Roman" w:hAnsi="Times New Roman" w:eastAsia="仿宋_GB2312"/>
          <w:b w:val="0"/>
          <w:bCs/>
        </w:rPr>
        <w:t>“</w:t>
      </w:r>
      <w:r>
        <w:rPr>
          <w:rFonts w:ascii="Times New Roman" w:hAnsi="Times New Roman" w:eastAsia="仿宋_GB2312"/>
          <w:b w:val="0"/>
          <w:bCs/>
        </w:rPr>
        <w:t>统一派单、统一督办，统一标准、统一问效，统一研判、统一明责</w:t>
      </w:r>
      <w:r>
        <w:rPr>
          <w:rFonts w:hint="eastAsia" w:ascii="Times New Roman" w:hAnsi="Times New Roman" w:eastAsia="仿宋_GB2312"/>
          <w:b w:val="0"/>
          <w:bCs/>
        </w:rPr>
        <w:t>”</w:t>
      </w:r>
      <w:r>
        <w:rPr>
          <w:rFonts w:ascii="Times New Roman" w:hAnsi="Times New Roman" w:eastAsia="仿宋_GB2312"/>
          <w:b w:val="0"/>
          <w:bCs/>
        </w:rPr>
        <w:t>工作机制，推动实现安全生产、消防安全和防灾减灾救灾领域重大复杂问题的高效处置。</w:t>
      </w:r>
    </w:p>
    <w:p w14:paraId="7E63EB2B">
      <w:pPr>
        <w:adjustRightInd w:val="0"/>
        <w:snapToGrid w:val="0"/>
        <w:spacing w:line="560" w:lineRule="exact"/>
        <w:ind w:firstLine="641"/>
        <w:jc w:val="both"/>
        <w:rPr>
          <w:rFonts w:ascii="Times New Roman" w:hAnsi="Times New Roman" w:eastAsia="仿宋_GB2312"/>
        </w:rPr>
      </w:pPr>
      <w:r>
        <w:rPr>
          <w:rFonts w:ascii="Times New Roman" w:hAnsi="Times New Roman" w:eastAsia="仿宋_GB2312"/>
        </w:rPr>
        <w:t>2.重点行业</w:t>
      </w:r>
      <w:r>
        <w:rPr>
          <w:rFonts w:hint="eastAsia" w:ascii="Times New Roman" w:hAnsi="Times New Roman" w:eastAsia="仿宋_GB2312"/>
        </w:rPr>
        <w:t>“</w:t>
      </w:r>
      <w:r>
        <w:rPr>
          <w:rFonts w:ascii="Times New Roman" w:hAnsi="Times New Roman" w:eastAsia="仿宋_GB2312"/>
        </w:rPr>
        <w:t>秩序化管理</w:t>
      </w:r>
      <w:r>
        <w:rPr>
          <w:rFonts w:hint="eastAsia" w:ascii="Times New Roman" w:hAnsi="Times New Roman" w:eastAsia="仿宋_GB2312"/>
        </w:rPr>
        <w:t>”</w:t>
      </w:r>
      <w:r>
        <w:rPr>
          <w:rFonts w:ascii="Times New Roman" w:hAnsi="Times New Roman" w:eastAsia="仿宋_GB2312"/>
        </w:rPr>
        <w:t>提升工程</w:t>
      </w:r>
    </w:p>
    <w:p w14:paraId="5892AEF5">
      <w:pPr>
        <w:adjustRightInd w:val="0"/>
        <w:snapToGrid w:val="0"/>
        <w:spacing w:line="560" w:lineRule="exact"/>
        <w:ind w:firstLine="640"/>
        <w:jc w:val="both"/>
        <w:rPr>
          <w:rFonts w:ascii="Times New Roman" w:hAnsi="Times New Roman" w:eastAsia="仿宋_GB2312"/>
          <w:b w:val="0"/>
          <w:bCs/>
        </w:rPr>
      </w:pPr>
      <w:r>
        <w:rPr>
          <w:rFonts w:ascii="Times New Roman" w:hAnsi="Times New Roman" w:eastAsia="仿宋_GB2312"/>
          <w:b w:val="0"/>
          <w:bCs/>
        </w:rPr>
        <w:t>以强化安全生产</w:t>
      </w:r>
      <w:r>
        <w:rPr>
          <w:rFonts w:hint="eastAsia" w:ascii="Times New Roman" w:hAnsi="Times New Roman" w:eastAsia="仿宋_GB2312"/>
          <w:b w:val="0"/>
          <w:bCs/>
        </w:rPr>
        <w:t>“</w:t>
      </w:r>
      <w:r>
        <w:rPr>
          <w:rFonts w:ascii="Times New Roman" w:hAnsi="Times New Roman" w:eastAsia="仿宋_GB2312"/>
          <w:b w:val="0"/>
          <w:bCs/>
        </w:rPr>
        <w:t>六化</w:t>
      </w:r>
      <w:r>
        <w:rPr>
          <w:rFonts w:hint="eastAsia" w:ascii="Times New Roman" w:hAnsi="Times New Roman" w:eastAsia="仿宋_GB2312"/>
          <w:b w:val="0"/>
          <w:bCs/>
        </w:rPr>
        <w:t>”</w:t>
      </w:r>
      <w:r>
        <w:rPr>
          <w:rFonts w:ascii="Times New Roman" w:hAnsi="Times New Roman" w:eastAsia="仿宋_GB2312"/>
          <w:b w:val="0"/>
          <w:bCs/>
        </w:rPr>
        <w:t>建设为支撑，创新</w:t>
      </w:r>
      <w:r>
        <w:rPr>
          <w:rFonts w:hint="eastAsia" w:ascii="Times New Roman" w:hAnsi="Times New Roman" w:eastAsia="仿宋_GB2312"/>
          <w:b w:val="0"/>
          <w:bCs/>
        </w:rPr>
        <w:t>“</w:t>
      </w:r>
      <w:r>
        <w:rPr>
          <w:rFonts w:ascii="Times New Roman" w:hAnsi="Times New Roman" w:eastAsia="仿宋_GB2312"/>
          <w:b w:val="0"/>
          <w:bCs/>
        </w:rPr>
        <w:t>标准化+柔性化</w:t>
      </w:r>
      <w:r>
        <w:rPr>
          <w:rFonts w:hint="eastAsia" w:ascii="Times New Roman" w:hAnsi="Times New Roman" w:eastAsia="仿宋_GB2312"/>
          <w:b w:val="0"/>
          <w:bCs/>
        </w:rPr>
        <w:t>”</w:t>
      </w:r>
      <w:r>
        <w:rPr>
          <w:rFonts w:ascii="Times New Roman" w:hAnsi="Times New Roman" w:eastAsia="仿宋_GB2312"/>
          <w:b w:val="0"/>
          <w:bCs/>
        </w:rPr>
        <w:t>监管路径，构建形成</w:t>
      </w:r>
      <w:r>
        <w:rPr>
          <w:rFonts w:hint="eastAsia" w:ascii="Times New Roman" w:hAnsi="Times New Roman" w:eastAsia="仿宋_GB2312"/>
          <w:b w:val="0"/>
          <w:bCs/>
        </w:rPr>
        <w:t>“</w:t>
      </w:r>
      <w:r>
        <w:rPr>
          <w:rFonts w:ascii="Times New Roman" w:hAnsi="Times New Roman" w:eastAsia="仿宋_GB2312"/>
          <w:b w:val="0"/>
          <w:bCs/>
        </w:rPr>
        <w:t>市局指导、专家辅导、区镇跟进</w:t>
      </w:r>
      <w:r>
        <w:rPr>
          <w:rFonts w:hint="eastAsia" w:ascii="Times New Roman" w:hAnsi="Times New Roman" w:eastAsia="仿宋_GB2312"/>
          <w:b w:val="0"/>
          <w:bCs/>
        </w:rPr>
        <w:t>”</w:t>
      </w:r>
      <w:r>
        <w:rPr>
          <w:rFonts w:ascii="Times New Roman" w:hAnsi="Times New Roman" w:eastAsia="仿宋_GB2312"/>
          <w:b w:val="0"/>
          <w:bCs/>
        </w:rPr>
        <w:t>的</w:t>
      </w:r>
      <w:r>
        <w:rPr>
          <w:rFonts w:hint="eastAsia" w:ascii="Times New Roman" w:hAnsi="Times New Roman" w:eastAsia="仿宋_GB2312"/>
          <w:b w:val="0"/>
          <w:bCs/>
        </w:rPr>
        <w:t>“</w:t>
      </w:r>
      <w:r>
        <w:rPr>
          <w:rFonts w:ascii="Times New Roman" w:hAnsi="Times New Roman" w:eastAsia="仿宋_GB2312"/>
          <w:b w:val="0"/>
          <w:bCs/>
        </w:rPr>
        <w:t>一体化</w:t>
      </w:r>
      <w:r>
        <w:rPr>
          <w:rFonts w:hint="eastAsia" w:ascii="Times New Roman" w:hAnsi="Times New Roman" w:eastAsia="仿宋_GB2312"/>
          <w:b w:val="0"/>
          <w:bCs/>
        </w:rPr>
        <w:t>”</w:t>
      </w:r>
      <w:r>
        <w:rPr>
          <w:rFonts w:ascii="Times New Roman" w:hAnsi="Times New Roman" w:eastAsia="仿宋_GB2312"/>
          <w:b w:val="0"/>
          <w:bCs/>
        </w:rPr>
        <w:t>监管模式，深入推进危化品等重点企业</w:t>
      </w:r>
      <w:r>
        <w:rPr>
          <w:rFonts w:hint="eastAsia" w:ascii="Times New Roman" w:hAnsi="Times New Roman" w:eastAsia="仿宋_GB2312"/>
          <w:b w:val="0"/>
          <w:bCs/>
        </w:rPr>
        <w:t>“</w:t>
      </w:r>
      <w:r>
        <w:rPr>
          <w:rFonts w:ascii="Times New Roman" w:hAnsi="Times New Roman" w:eastAsia="仿宋_GB2312"/>
          <w:b w:val="0"/>
          <w:bCs/>
        </w:rPr>
        <w:t>秩序化管理</w:t>
      </w:r>
      <w:r>
        <w:rPr>
          <w:rFonts w:hint="eastAsia" w:ascii="Times New Roman" w:hAnsi="Times New Roman" w:eastAsia="仿宋_GB2312"/>
          <w:b w:val="0"/>
          <w:bCs/>
        </w:rPr>
        <w:t>”</w:t>
      </w:r>
      <w:r>
        <w:rPr>
          <w:rFonts w:ascii="Times New Roman" w:hAnsi="Times New Roman" w:eastAsia="仿宋_GB2312"/>
          <w:b w:val="0"/>
          <w:bCs/>
        </w:rPr>
        <w:t>系统建设，落实安全文化阵地化、外部环境可视化、内部制度规范化、风险点位区域化、仓储工艺量明化、管理人员专业化建设要求，持续提升企业厂区治理、作业环境、文化氛围、员工素养水平，助力企业高质量发展。</w:t>
      </w:r>
    </w:p>
    <w:p w14:paraId="7093F382">
      <w:pPr>
        <w:adjustRightInd w:val="0"/>
        <w:snapToGrid w:val="0"/>
        <w:spacing w:line="560" w:lineRule="exact"/>
        <w:ind w:firstLine="641"/>
        <w:jc w:val="both"/>
        <w:rPr>
          <w:rFonts w:ascii="Times New Roman" w:hAnsi="Times New Roman" w:eastAsia="仿宋_GB2312"/>
        </w:rPr>
      </w:pPr>
      <w:r>
        <w:rPr>
          <w:rFonts w:ascii="Times New Roman" w:hAnsi="Times New Roman" w:eastAsia="仿宋_GB2312"/>
        </w:rPr>
        <w:t>3.重点领域安全生产风险监测预警系统升级建设</w:t>
      </w:r>
    </w:p>
    <w:p w14:paraId="3D38265D">
      <w:pPr>
        <w:adjustRightInd w:val="0"/>
        <w:snapToGrid w:val="0"/>
        <w:spacing w:line="560" w:lineRule="exact"/>
        <w:ind w:firstLine="640"/>
        <w:jc w:val="both"/>
        <w:rPr>
          <w:rFonts w:ascii="Times New Roman" w:hAnsi="Times New Roman" w:eastAsia="仿宋_GB2312"/>
          <w:b w:val="0"/>
          <w:bCs/>
        </w:rPr>
      </w:pPr>
      <w:r>
        <w:rPr>
          <w:rFonts w:ascii="Times New Roman" w:hAnsi="Times New Roman" w:eastAsia="仿宋_GB2312"/>
          <w:b w:val="0"/>
          <w:bCs/>
        </w:rPr>
        <w:t>立足昆山作为全省唯一县级城市生命线安全工程建设试点城市优势，推动风险监测预警能力向城市生命线各专项领域延伸覆盖。强化钢铁、铝加工（深井铸造）、粉尘涉爆等行业领域重点部位、关键环节风险防控，提升关键指标物联感知水平，实现安全生产风险实时监测、动态预警、智能研判、及时处置。在涉锂电池行业试点安装红外感温设备，提升极早期火灾预警能力。</w:t>
      </w:r>
    </w:p>
    <w:p w14:paraId="33EDED59">
      <w:pPr>
        <w:adjustRightInd w:val="0"/>
        <w:snapToGrid w:val="0"/>
        <w:spacing w:line="560" w:lineRule="exact"/>
        <w:ind w:firstLine="641"/>
        <w:jc w:val="both"/>
        <w:rPr>
          <w:rFonts w:ascii="Times New Roman" w:hAnsi="Times New Roman" w:eastAsia="仿宋_GB2312"/>
        </w:rPr>
      </w:pPr>
      <w:r>
        <w:rPr>
          <w:rFonts w:ascii="Times New Roman" w:hAnsi="Times New Roman" w:eastAsia="仿宋_GB2312"/>
        </w:rPr>
        <w:t>4.风险减量提质增效实施工程</w:t>
      </w:r>
    </w:p>
    <w:p w14:paraId="2F004500">
      <w:pPr>
        <w:pStyle w:val="6"/>
        <w:adjustRightInd w:val="0"/>
        <w:snapToGrid w:val="0"/>
        <w:spacing w:line="560" w:lineRule="exact"/>
        <w:ind w:left="0" w:firstLine="640"/>
        <w:jc w:val="both"/>
        <w:rPr>
          <w:rFonts w:ascii="Times New Roman" w:hAnsi="Times New Roman" w:eastAsia="仿宋_GB2312" w:cs="Times New Roman"/>
          <w:b w:val="0"/>
          <w:bCs/>
        </w:rPr>
      </w:pPr>
      <w:r>
        <w:rPr>
          <w:rFonts w:ascii="Times New Roman" w:hAnsi="Times New Roman" w:eastAsia="仿宋_GB2312" w:cs="Times New Roman"/>
          <w:b w:val="0"/>
          <w:bCs/>
        </w:rPr>
        <w:t>强化对安责险风险管控服务中心运行指导，推动服务中心充分发挥统筹安责险事故预防服务开展、监督、评估的</w:t>
      </w:r>
      <w:r>
        <w:rPr>
          <w:rFonts w:hint="eastAsia" w:ascii="Times New Roman" w:hAnsi="Times New Roman" w:eastAsia="仿宋_GB2312" w:cs="Times New Roman"/>
          <w:b w:val="0"/>
          <w:bCs/>
        </w:rPr>
        <w:t>“</w:t>
      </w:r>
      <w:r>
        <w:rPr>
          <w:rFonts w:ascii="Times New Roman" w:hAnsi="Times New Roman" w:eastAsia="仿宋_GB2312" w:cs="Times New Roman"/>
          <w:b w:val="0"/>
          <w:bCs/>
        </w:rPr>
        <w:t>三合一</w:t>
      </w:r>
      <w:r>
        <w:rPr>
          <w:rFonts w:hint="eastAsia" w:ascii="Times New Roman" w:hAnsi="Times New Roman" w:eastAsia="仿宋_GB2312" w:cs="Times New Roman"/>
          <w:b w:val="0"/>
          <w:bCs/>
        </w:rPr>
        <w:t>”</w:t>
      </w:r>
      <w:r>
        <w:rPr>
          <w:rFonts w:ascii="Times New Roman" w:hAnsi="Times New Roman" w:eastAsia="仿宋_GB2312" w:cs="Times New Roman"/>
          <w:b w:val="0"/>
          <w:bCs/>
        </w:rPr>
        <w:t>功能。聚焦隐患排查、风险辨识等基础服务项目，有效释放安责险风险减量工作效能；探索</w:t>
      </w:r>
      <w:r>
        <w:rPr>
          <w:rFonts w:hint="eastAsia" w:ascii="Times New Roman" w:hAnsi="Times New Roman" w:eastAsia="仿宋_GB2312" w:cs="Times New Roman"/>
          <w:b w:val="0"/>
          <w:bCs/>
        </w:rPr>
        <w:t>“</w:t>
      </w:r>
      <w:r>
        <w:rPr>
          <w:rFonts w:ascii="Times New Roman" w:hAnsi="Times New Roman" w:eastAsia="仿宋_GB2312" w:cs="Times New Roman"/>
          <w:b w:val="0"/>
          <w:bCs/>
        </w:rPr>
        <w:t>智慧+应急</w:t>
      </w:r>
      <w:r>
        <w:rPr>
          <w:rFonts w:hint="eastAsia" w:ascii="Times New Roman" w:hAnsi="Times New Roman" w:eastAsia="仿宋_GB2312" w:cs="Times New Roman"/>
          <w:b w:val="0"/>
          <w:bCs/>
        </w:rPr>
        <w:t>”</w:t>
      </w:r>
      <w:r>
        <w:rPr>
          <w:rFonts w:ascii="Times New Roman" w:hAnsi="Times New Roman" w:eastAsia="仿宋_GB2312" w:cs="Times New Roman"/>
          <w:b w:val="0"/>
          <w:bCs/>
        </w:rPr>
        <w:t>科技服务产品应用，依托</w:t>
      </w:r>
      <w:r>
        <w:rPr>
          <w:rFonts w:hint="eastAsia" w:ascii="Times New Roman" w:hAnsi="Times New Roman" w:eastAsia="仿宋_GB2312" w:cs="Times New Roman"/>
          <w:b w:val="0"/>
          <w:bCs/>
        </w:rPr>
        <w:t>“</w:t>
      </w:r>
      <w:r>
        <w:rPr>
          <w:rFonts w:ascii="Times New Roman" w:hAnsi="Times New Roman" w:eastAsia="仿宋_GB2312" w:cs="Times New Roman"/>
          <w:b w:val="0"/>
          <w:bCs/>
        </w:rPr>
        <w:t>保险+服务+科技</w:t>
      </w:r>
      <w:r>
        <w:rPr>
          <w:rFonts w:hint="eastAsia" w:ascii="Times New Roman" w:hAnsi="Times New Roman" w:eastAsia="仿宋_GB2312" w:cs="Times New Roman"/>
          <w:b w:val="0"/>
          <w:bCs/>
        </w:rPr>
        <w:t>”</w:t>
      </w:r>
      <w:r>
        <w:rPr>
          <w:rFonts w:ascii="Times New Roman" w:hAnsi="Times New Roman" w:eastAsia="仿宋_GB2312" w:cs="Times New Roman"/>
          <w:b w:val="0"/>
          <w:bCs/>
        </w:rPr>
        <w:t>模式助力行业监管，提升企业本质安全水平，构建形成政府、保险机构、企业、服务机构多方共同参与的安全生产社会共治新格局。</w:t>
      </w:r>
    </w:p>
    <w:p w14:paraId="1F7CEEB7">
      <w:pPr>
        <w:pStyle w:val="3"/>
        <w:adjustRightInd w:val="0"/>
        <w:snapToGrid w:val="0"/>
        <w:spacing w:before="0" w:after="0" w:line="560" w:lineRule="exact"/>
        <w:ind w:firstLine="640"/>
        <w:jc w:val="both"/>
        <w:rPr>
          <w:rFonts w:ascii="Times New Roman" w:hAnsi="Times New Roman" w:eastAsia="楷体_GB2312" w:cs="Times New Roman"/>
        </w:rPr>
      </w:pPr>
      <w:bookmarkStart w:id="26" w:name="_Toc26323"/>
      <w:r>
        <w:rPr>
          <w:rFonts w:ascii="Times New Roman" w:hAnsi="Times New Roman" w:eastAsia="楷体_GB2312" w:cs="Times New Roman"/>
        </w:rPr>
        <w:t>（二）灾害应急能力提升工程</w:t>
      </w:r>
      <w:bookmarkEnd w:id="26"/>
    </w:p>
    <w:p w14:paraId="03E1F991">
      <w:pPr>
        <w:adjustRightInd w:val="0"/>
        <w:snapToGrid w:val="0"/>
        <w:spacing w:line="560" w:lineRule="exact"/>
        <w:ind w:firstLine="641"/>
        <w:jc w:val="both"/>
        <w:rPr>
          <w:rFonts w:ascii="Times New Roman" w:hAnsi="Times New Roman" w:eastAsia="仿宋_GB2312"/>
        </w:rPr>
      </w:pPr>
      <w:r>
        <w:rPr>
          <w:rFonts w:ascii="Times New Roman" w:hAnsi="Times New Roman" w:eastAsia="仿宋_GB2312"/>
        </w:rPr>
        <w:t>1.城市生命线工程</w:t>
      </w:r>
    </w:p>
    <w:p w14:paraId="2CE3FA09">
      <w:pPr>
        <w:adjustRightInd w:val="0"/>
        <w:snapToGrid w:val="0"/>
        <w:spacing w:line="560" w:lineRule="exact"/>
        <w:ind w:firstLine="640"/>
        <w:jc w:val="both"/>
        <w:rPr>
          <w:rFonts w:ascii="Times New Roman" w:hAnsi="Times New Roman" w:eastAsia="仿宋_GB2312"/>
          <w:b w:val="0"/>
          <w:bCs/>
        </w:rPr>
      </w:pPr>
      <w:r>
        <w:rPr>
          <w:rFonts w:ascii="Times New Roman" w:hAnsi="Times New Roman" w:eastAsia="仿宋_GB2312"/>
          <w:b w:val="0"/>
          <w:bCs/>
        </w:rPr>
        <w:t>以筑牢城市安全底线、保障民生福祉、推进韧性城市建设为核心，聚焦燃气、供水、排水、桥梁等城市关键基础设施，统筹推进城市安全与高质量发展。立足前期工作成效，巩固提升城市安全治理成果，持续推进城市生命线工程建设，推动城市安全治理向更高水平、更广范围、更深层次迈进，打造中国式现代化县域示范。</w:t>
      </w:r>
    </w:p>
    <w:p w14:paraId="6E42A31C">
      <w:pPr>
        <w:adjustRightInd w:val="0"/>
        <w:snapToGrid w:val="0"/>
        <w:spacing w:line="560" w:lineRule="exact"/>
        <w:ind w:firstLine="641"/>
        <w:jc w:val="both"/>
        <w:rPr>
          <w:rFonts w:ascii="Times New Roman" w:hAnsi="Times New Roman" w:eastAsia="仿宋_GB2312"/>
        </w:rPr>
      </w:pPr>
      <w:r>
        <w:rPr>
          <w:rFonts w:ascii="Times New Roman" w:hAnsi="Times New Roman" w:eastAsia="仿宋_GB2312"/>
        </w:rPr>
        <w:t>2.城市防洪生态双重防护工程</w:t>
      </w:r>
    </w:p>
    <w:p w14:paraId="41C2B6BE">
      <w:pPr>
        <w:adjustRightInd w:val="0"/>
        <w:snapToGrid w:val="0"/>
        <w:spacing w:line="560" w:lineRule="exact"/>
        <w:ind w:firstLine="640"/>
        <w:jc w:val="both"/>
        <w:rPr>
          <w:rFonts w:ascii="Times New Roman" w:hAnsi="Times New Roman" w:eastAsia="仿宋_GB2312"/>
          <w:b w:val="0"/>
          <w:bCs/>
        </w:rPr>
      </w:pPr>
      <w:r>
        <w:rPr>
          <w:rFonts w:ascii="Times New Roman" w:hAnsi="Times New Roman" w:eastAsia="仿宋_GB2312"/>
          <w:b w:val="0"/>
          <w:bCs/>
        </w:rPr>
        <w:t>聚焦城市安全与生态防护要求，重点推进两项核心项目建设。一是吴淞江（江苏段）整治工程昆山段，严格按照流域百年一遇洪水行泄标准推进实施，拓浚河道31.04km，同步配套建设达标堤防、护岸，新（改）建支河口门等设施，全面强化区域防洪减灾能力。二是实施城市污水收集处理设施改造工程，系统升级全市污水厂、污水泵站及污水管网等设施，全面提升污水收集处理效能，筑牢城市生态安全与灾害防控双重防线。</w:t>
      </w:r>
    </w:p>
    <w:p w14:paraId="548F9978">
      <w:pPr>
        <w:adjustRightInd w:val="0"/>
        <w:snapToGrid w:val="0"/>
        <w:spacing w:line="560" w:lineRule="exact"/>
        <w:ind w:firstLine="641"/>
        <w:jc w:val="both"/>
        <w:rPr>
          <w:rFonts w:ascii="Times New Roman" w:hAnsi="Times New Roman" w:eastAsia="仿宋_GB2312"/>
        </w:rPr>
      </w:pPr>
      <w:r>
        <w:rPr>
          <w:rFonts w:ascii="Times New Roman" w:hAnsi="Times New Roman" w:eastAsia="仿宋_GB2312"/>
        </w:rPr>
        <w:t>3.应急救援队伍建设工程</w:t>
      </w:r>
    </w:p>
    <w:p w14:paraId="24122603">
      <w:pPr>
        <w:adjustRightInd w:val="0"/>
        <w:snapToGrid w:val="0"/>
        <w:spacing w:line="560" w:lineRule="exact"/>
        <w:ind w:firstLine="640"/>
        <w:jc w:val="both"/>
        <w:rPr>
          <w:rFonts w:ascii="Times New Roman" w:hAnsi="Times New Roman" w:eastAsia="仿宋_GB2312"/>
          <w:b w:val="0"/>
          <w:bCs/>
        </w:rPr>
      </w:pPr>
      <w:r>
        <w:rPr>
          <w:rFonts w:ascii="Times New Roman" w:hAnsi="Times New Roman" w:eastAsia="仿宋_GB2312"/>
          <w:b w:val="0"/>
          <w:bCs/>
        </w:rPr>
        <w:t>聚焦建强应急救援力量体系，着力打造化工园区专业应急救援队伍；推动乡镇应急消防队伍提质升级，配齐配强通信指挥、防消联勤、个人防护、特种车辆等各类基础装备；建成正仪政府专职消防救援队，优化消防卫星站布防布局，规划实施昆山市消防战勤保障基地二期综合训练设施项目，全面提升基层消防队伍风险识别、快速响应、先期处置的实战能力。</w:t>
      </w:r>
    </w:p>
    <w:p w14:paraId="76D01507">
      <w:pPr>
        <w:adjustRightInd w:val="0"/>
        <w:snapToGrid w:val="0"/>
        <w:spacing w:line="560" w:lineRule="exact"/>
        <w:ind w:firstLine="641"/>
        <w:jc w:val="both"/>
        <w:rPr>
          <w:rFonts w:ascii="Times New Roman" w:hAnsi="Times New Roman" w:eastAsia="仿宋_GB2312"/>
        </w:rPr>
      </w:pPr>
      <w:r>
        <w:rPr>
          <w:rFonts w:ascii="Times New Roman" w:hAnsi="Times New Roman" w:eastAsia="仿宋_GB2312"/>
        </w:rPr>
        <w:t>4.应急物资储备体系优化工程</w:t>
      </w:r>
    </w:p>
    <w:p w14:paraId="31C7C598">
      <w:pPr>
        <w:adjustRightInd w:val="0"/>
        <w:snapToGrid w:val="0"/>
        <w:spacing w:line="560" w:lineRule="exact"/>
        <w:ind w:firstLine="640"/>
        <w:jc w:val="both"/>
        <w:rPr>
          <w:rFonts w:ascii="Times New Roman" w:hAnsi="Times New Roman" w:eastAsia="仿宋_GB2312"/>
          <w:b w:val="0"/>
          <w:bCs/>
        </w:rPr>
      </w:pPr>
      <w:r>
        <w:rPr>
          <w:rFonts w:ascii="Times New Roman" w:hAnsi="Times New Roman" w:eastAsia="仿宋_GB2312"/>
          <w:b w:val="0"/>
          <w:bCs/>
        </w:rPr>
        <w:t>优化全市应急物资储备仓库布局，推动实现基层应急物资储备点建设全覆盖，重点强化乡镇级物资储备库（点）建设。推进多元应急物资储备体系建设，结合多灾种特点，完善储备方式、品类与规模。健全完善应急物资储备调运机制，确保应急物资保障及时高效。</w:t>
      </w:r>
    </w:p>
    <w:p w14:paraId="137310D6">
      <w:pPr>
        <w:pStyle w:val="3"/>
        <w:adjustRightInd w:val="0"/>
        <w:snapToGrid w:val="0"/>
        <w:spacing w:before="0" w:after="0" w:line="560" w:lineRule="exact"/>
        <w:ind w:firstLine="640"/>
        <w:jc w:val="both"/>
        <w:rPr>
          <w:rFonts w:ascii="Times New Roman" w:hAnsi="Times New Roman" w:eastAsia="楷体_GB2312" w:cs="Times New Roman"/>
        </w:rPr>
      </w:pPr>
      <w:bookmarkStart w:id="27" w:name="_Toc15288"/>
      <w:r>
        <w:rPr>
          <w:rFonts w:ascii="Times New Roman" w:hAnsi="Times New Roman" w:eastAsia="楷体_GB2312" w:cs="Times New Roman"/>
        </w:rPr>
        <w:t>（三）应急管理智能感知与数据基座工程</w:t>
      </w:r>
      <w:bookmarkEnd w:id="27"/>
    </w:p>
    <w:p w14:paraId="27771D96">
      <w:pPr>
        <w:adjustRightInd w:val="0"/>
        <w:snapToGrid w:val="0"/>
        <w:spacing w:line="560" w:lineRule="exact"/>
        <w:ind w:firstLine="640"/>
        <w:jc w:val="both"/>
        <w:rPr>
          <w:rFonts w:ascii="Times New Roman" w:hAnsi="Times New Roman" w:eastAsia="仿宋_GB2312"/>
          <w:b w:val="0"/>
          <w:bCs/>
        </w:rPr>
      </w:pPr>
      <w:r>
        <w:rPr>
          <w:rFonts w:ascii="Times New Roman" w:hAnsi="Times New Roman" w:eastAsia="仿宋_GB2312"/>
          <w:b w:val="0"/>
          <w:bCs/>
        </w:rPr>
        <w:t>本项工程旨在筑牢智慧应急的</w:t>
      </w:r>
      <w:r>
        <w:rPr>
          <w:rFonts w:hint="eastAsia" w:ascii="Times New Roman" w:hAnsi="Times New Roman" w:eastAsia="仿宋_GB2312"/>
          <w:b w:val="0"/>
          <w:bCs/>
        </w:rPr>
        <w:t>“</w:t>
      </w:r>
      <w:r>
        <w:rPr>
          <w:rFonts w:ascii="Times New Roman" w:hAnsi="Times New Roman" w:eastAsia="仿宋_GB2312"/>
          <w:b w:val="0"/>
          <w:bCs/>
        </w:rPr>
        <w:t>数据地基</w:t>
      </w:r>
      <w:r>
        <w:rPr>
          <w:rFonts w:hint="eastAsia" w:ascii="Times New Roman" w:hAnsi="Times New Roman" w:eastAsia="仿宋_GB2312"/>
          <w:b w:val="0"/>
          <w:bCs/>
        </w:rPr>
        <w:t>”</w:t>
      </w:r>
      <w:r>
        <w:rPr>
          <w:rFonts w:ascii="Times New Roman" w:hAnsi="Times New Roman" w:eastAsia="仿宋_GB2312"/>
          <w:b w:val="0"/>
          <w:bCs/>
        </w:rPr>
        <w:t>与</w:t>
      </w:r>
      <w:r>
        <w:rPr>
          <w:rFonts w:hint="eastAsia" w:ascii="Times New Roman" w:hAnsi="Times New Roman" w:eastAsia="仿宋_GB2312"/>
          <w:b w:val="0"/>
          <w:bCs/>
        </w:rPr>
        <w:t>“</w:t>
      </w:r>
      <w:r>
        <w:rPr>
          <w:rFonts w:ascii="Times New Roman" w:hAnsi="Times New Roman" w:eastAsia="仿宋_GB2312"/>
          <w:b w:val="0"/>
          <w:bCs/>
        </w:rPr>
        <w:t>智能内核</w:t>
      </w:r>
      <w:r>
        <w:rPr>
          <w:rFonts w:hint="eastAsia" w:ascii="Times New Roman" w:hAnsi="Times New Roman" w:eastAsia="仿宋_GB2312"/>
          <w:b w:val="0"/>
          <w:bCs/>
        </w:rPr>
        <w:t>”</w:t>
      </w:r>
      <w:r>
        <w:rPr>
          <w:rFonts w:ascii="Times New Roman" w:hAnsi="Times New Roman" w:eastAsia="仿宋_GB2312"/>
          <w:b w:val="0"/>
          <w:bCs/>
        </w:rPr>
        <w:t>，为上层AI应用提供强大的基础支撑。</w:t>
      </w:r>
    </w:p>
    <w:p w14:paraId="1775F57F">
      <w:pPr>
        <w:adjustRightInd w:val="0"/>
        <w:snapToGrid w:val="0"/>
        <w:spacing w:line="560" w:lineRule="exact"/>
        <w:ind w:firstLine="641"/>
        <w:jc w:val="both"/>
        <w:rPr>
          <w:rFonts w:ascii="Times New Roman" w:hAnsi="Times New Roman" w:eastAsia="仿宋_GB2312"/>
        </w:rPr>
      </w:pPr>
      <w:r>
        <w:rPr>
          <w:rFonts w:ascii="Times New Roman" w:hAnsi="Times New Roman" w:eastAsia="仿宋_GB2312"/>
        </w:rPr>
        <w:t>1.工业物联感知网络拓展工程</w:t>
      </w:r>
    </w:p>
    <w:p w14:paraId="1A110915">
      <w:pPr>
        <w:adjustRightInd w:val="0"/>
        <w:snapToGrid w:val="0"/>
        <w:spacing w:line="560" w:lineRule="exact"/>
        <w:ind w:firstLine="640"/>
        <w:jc w:val="both"/>
        <w:rPr>
          <w:rFonts w:ascii="Times New Roman" w:hAnsi="Times New Roman" w:eastAsia="仿宋_GB2312"/>
          <w:b w:val="0"/>
          <w:bCs/>
        </w:rPr>
      </w:pPr>
      <w:r>
        <w:rPr>
          <w:rFonts w:ascii="Times New Roman" w:hAnsi="Times New Roman" w:eastAsia="仿宋_GB2312"/>
          <w:b w:val="0"/>
          <w:bCs/>
        </w:rPr>
        <w:t>搭建统一的昆山市工业企业公共IoT平台，制定数据接入标准，全面梳理并对接全市工业企业的物联感知数据，实现对重大危险源、重点监管企业的实时动态监测，形成全域覆盖的应急管理“神经末梢”。</w:t>
      </w:r>
    </w:p>
    <w:p w14:paraId="4531844E">
      <w:pPr>
        <w:adjustRightInd w:val="0"/>
        <w:snapToGrid w:val="0"/>
        <w:spacing w:line="560" w:lineRule="exact"/>
        <w:ind w:firstLine="641"/>
        <w:jc w:val="both"/>
        <w:rPr>
          <w:rFonts w:ascii="Times New Roman" w:hAnsi="Times New Roman" w:eastAsia="仿宋_GB2312"/>
        </w:rPr>
      </w:pPr>
      <w:r>
        <w:rPr>
          <w:rFonts w:ascii="Times New Roman" w:hAnsi="Times New Roman" w:eastAsia="仿宋_GB2312"/>
        </w:rPr>
        <w:t xml:space="preserve">2.AI能力中枢建设工程 </w:t>
      </w:r>
    </w:p>
    <w:p w14:paraId="5945F757">
      <w:pPr>
        <w:adjustRightInd w:val="0"/>
        <w:snapToGrid w:val="0"/>
        <w:spacing w:line="560" w:lineRule="exact"/>
        <w:ind w:firstLine="640"/>
        <w:jc w:val="both"/>
        <w:rPr>
          <w:rFonts w:ascii="Times New Roman" w:hAnsi="Times New Roman" w:eastAsia="仿宋_GB2312"/>
          <w:b w:val="0"/>
          <w:bCs/>
        </w:rPr>
      </w:pPr>
      <w:r>
        <w:rPr>
          <w:rFonts w:ascii="Times New Roman" w:hAnsi="Times New Roman" w:eastAsia="仿宋_GB2312"/>
          <w:b w:val="0"/>
          <w:bCs/>
        </w:rPr>
        <w:t>以</w:t>
      </w:r>
      <w:r>
        <w:rPr>
          <w:rFonts w:hint="eastAsia" w:ascii="Times New Roman" w:hAnsi="Times New Roman" w:eastAsia="仿宋_GB2312"/>
          <w:b w:val="0"/>
          <w:bCs/>
        </w:rPr>
        <w:t>“</w:t>
      </w:r>
      <w:r>
        <w:rPr>
          <w:rFonts w:ascii="Times New Roman" w:hAnsi="Times New Roman" w:eastAsia="仿宋_GB2312"/>
          <w:b w:val="0"/>
          <w:bCs/>
        </w:rPr>
        <w:t>昆安宁</w:t>
      </w:r>
      <w:r>
        <w:rPr>
          <w:rFonts w:hint="eastAsia" w:ascii="Times New Roman" w:hAnsi="Times New Roman" w:eastAsia="仿宋_GB2312"/>
          <w:b w:val="0"/>
          <w:bCs/>
        </w:rPr>
        <w:t>”</w:t>
      </w:r>
      <w:r>
        <w:rPr>
          <w:rFonts w:ascii="Times New Roman" w:hAnsi="Times New Roman" w:eastAsia="仿宋_GB2312"/>
          <w:b w:val="0"/>
          <w:bCs/>
        </w:rPr>
        <w:t>项目建设为核心，构建昆山应急独有的AI模型库与算法中心。聚焦风险智能研判、灾害模拟推演、辅助决策支持等核心能力，为各类智慧应急场景提供标准化、可复用的智能分析服务。</w:t>
      </w:r>
    </w:p>
    <w:p w14:paraId="461991C8">
      <w:pPr>
        <w:pStyle w:val="32"/>
        <w:adjustRightInd w:val="0"/>
        <w:snapToGrid w:val="0"/>
        <w:spacing w:line="560" w:lineRule="exact"/>
        <w:ind w:firstLineChars="0"/>
        <w:jc w:val="both"/>
        <w:rPr>
          <w:rFonts w:ascii="Times New Roman" w:hAnsi="Times New Roman" w:eastAsia="仿宋_GB2312"/>
        </w:rPr>
      </w:pPr>
      <w:r>
        <w:rPr>
          <w:rFonts w:ascii="Times New Roman" w:hAnsi="Times New Roman" w:eastAsia="仿宋_GB2312"/>
        </w:rPr>
        <w:t>3.应急管理大数据提效工程</w:t>
      </w:r>
    </w:p>
    <w:p w14:paraId="182ACDA2">
      <w:pPr>
        <w:adjustRightInd w:val="0"/>
        <w:snapToGrid w:val="0"/>
        <w:spacing w:line="560" w:lineRule="exact"/>
        <w:ind w:firstLine="640"/>
        <w:jc w:val="both"/>
        <w:rPr>
          <w:rFonts w:ascii="Times New Roman" w:hAnsi="Times New Roman" w:eastAsia="仿宋_GB2312"/>
          <w:b w:val="0"/>
          <w:bCs/>
        </w:rPr>
      </w:pPr>
      <w:r>
        <w:rPr>
          <w:rFonts w:ascii="Times New Roman" w:hAnsi="Times New Roman" w:eastAsia="仿宋_GB2312"/>
          <w:b w:val="0"/>
          <w:bCs/>
        </w:rPr>
        <w:t>升级应急管理大数据中心，在整合内部业务数据的基础上，重点强化气象、水务、交通、公安等外部源数据的接入、清洗与融合。通过构建高质量、多维度的数据资源池，为AI模型的训练、优化和精准分析提供源源不断的</w:t>
      </w:r>
      <w:r>
        <w:rPr>
          <w:rFonts w:hint="eastAsia" w:ascii="Times New Roman" w:hAnsi="Times New Roman" w:eastAsia="仿宋_GB2312"/>
          <w:b w:val="0"/>
          <w:bCs/>
        </w:rPr>
        <w:t>“</w:t>
      </w:r>
      <w:r>
        <w:rPr>
          <w:rFonts w:ascii="Times New Roman" w:hAnsi="Times New Roman" w:eastAsia="仿宋_GB2312"/>
          <w:b w:val="0"/>
          <w:bCs/>
        </w:rPr>
        <w:t>燃料</w:t>
      </w:r>
      <w:r>
        <w:rPr>
          <w:rFonts w:hint="eastAsia" w:ascii="Times New Roman" w:hAnsi="Times New Roman" w:eastAsia="仿宋_GB2312"/>
          <w:b w:val="0"/>
          <w:bCs/>
        </w:rPr>
        <w:t>”</w:t>
      </w:r>
      <w:r>
        <w:rPr>
          <w:rFonts w:ascii="Times New Roman" w:hAnsi="Times New Roman" w:eastAsia="仿宋_GB2312"/>
          <w:b w:val="0"/>
          <w:bCs/>
        </w:rPr>
        <w:t>，驱动应急管理向“数据驱动、智能驱动”转型。</w:t>
      </w:r>
    </w:p>
    <w:p w14:paraId="5CC9DCE7">
      <w:pPr>
        <w:pStyle w:val="3"/>
        <w:adjustRightInd w:val="0"/>
        <w:snapToGrid w:val="0"/>
        <w:spacing w:before="0" w:after="0" w:line="560" w:lineRule="exact"/>
        <w:ind w:firstLine="640"/>
        <w:jc w:val="both"/>
        <w:rPr>
          <w:rFonts w:ascii="Times New Roman" w:hAnsi="Times New Roman" w:eastAsia="楷体_GB2312" w:cs="Times New Roman"/>
        </w:rPr>
      </w:pPr>
      <w:bookmarkStart w:id="28" w:name="_Toc2573"/>
      <w:r>
        <w:rPr>
          <w:rFonts w:ascii="Times New Roman" w:hAnsi="Times New Roman" w:eastAsia="楷体_GB2312" w:cs="Times New Roman"/>
        </w:rPr>
        <w:t>（四）全民安全意识强化工程</w:t>
      </w:r>
      <w:bookmarkEnd w:id="28"/>
    </w:p>
    <w:p w14:paraId="36668790">
      <w:pPr>
        <w:adjustRightInd w:val="0"/>
        <w:snapToGrid w:val="0"/>
        <w:spacing w:line="560" w:lineRule="exact"/>
        <w:ind w:firstLine="641"/>
        <w:jc w:val="both"/>
        <w:rPr>
          <w:rFonts w:ascii="Times New Roman" w:hAnsi="Times New Roman" w:eastAsia="仿宋_GB2312"/>
        </w:rPr>
      </w:pPr>
      <w:r>
        <w:rPr>
          <w:rFonts w:ascii="Times New Roman" w:hAnsi="Times New Roman" w:eastAsia="仿宋_GB2312"/>
        </w:rPr>
        <w:t>1.市民</w:t>
      </w:r>
      <w:r>
        <w:rPr>
          <w:rFonts w:hint="eastAsia" w:ascii="Times New Roman" w:hAnsi="Times New Roman" w:eastAsia="仿宋_GB2312"/>
        </w:rPr>
        <w:t>“</w:t>
      </w:r>
      <w:r>
        <w:rPr>
          <w:rFonts w:ascii="Times New Roman" w:hAnsi="Times New Roman" w:eastAsia="仿宋_GB2312"/>
        </w:rPr>
        <w:t>避险技能+1</w:t>
      </w:r>
      <w:r>
        <w:rPr>
          <w:rFonts w:hint="eastAsia" w:ascii="Times New Roman" w:hAnsi="Times New Roman" w:eastAsia="仿宋_GB2312"/>
        </w:rPr>
        <w:t>”</w:t>
      </w:r>
      <w:r>
        <w:rPr>
          <w:rFonts w:ascii="Times New Roman" w:hAnsi="Times New Roman" w:eastAsia="仿宋_GB2312"/>
        </w:rPr>
        <w:t>工程</w:t>
      </w:r>
    </w:p>
    <w:p w14:paraId="4375CE50">
      <w:pPr>
        <w:adjustRightInd w:val="0"/>
        <w:snapToGrid w:val="0"/>
        <w:spacing w:line="560" w:lineRule="exact"/>
        <w:ind w:firstLine="640"/>
        <w:jc w:val="both"/>
        <w:rPr>
          <w:rFonts w:ascii="Times New Roman" w:hAnsi="Times New Roman" w:eastAsia="仿宋_GB2312"/>
          <w:b w:val="0"/>
          <w:bCs/>
        </w:rPr>
      </w:pPr>
      <w:r>
        <w:rPr>
          <w:rFonts w:ascii="Times New Roman" w:hAnsi="Times New Roman" w:eastAsia="仿宋_GB2312"/>
          <w:b w:val="0"/>
          <w:bCs/>
        </w:rPr>
        <w:t>制定并动态更新一张</w:t>
      </w:r>
      <w:r>
        <w:rPr>
          <w:rFonts w:hint="eastAsia" w:ascii="Times New Roman" w:hAnsi="Times New Roman" w:eastAsia="仿宋_GB2312"/>
          <w:b w:val="0"/>
          <w:bCs/>
        </w:rPr>
        <w:t>“</w:t>
      </w:r>
      <w:r>
        <w:rPr>
          <w:rFonts w:ascii="Times New Roman" w:hAnsi="Times New Roman" w:eastAsia="仿宋_GB2312"/>
          <w:b w:val="0"/>
          <w:bCs/>
        </w:rPr>
        <w:t>市民核心避险技能</w:t>
      </w:r>
      <w:r>
        <w:rPr>
          <w:rFonts w:hint="eastAsia" w:ascii="Times New Roman" w:hAnsi="Times New Roman" w:eastAsia="仿宋_GB2312"/>
          <w:b w:val="0"/>
          <w:bCs/>
        </w:rPr>
        <w:t>”</w:t>
      </w:r>
      <w:r>
        <w:rPr>
          <w:rFonts w:ascii="Times New Roman" w:hAnsi="Times New Roman" w:eastAsia="仿宋_GB2312"/>
          <w:b w:val="0"/>
          <w:bCs/>
        </w:rPr>
        <w:t>推荐清单，依托全市安全学校、安全场馆公园等资源形成全市</w:t>
      </w:r>
      <w:r>
        <w:rPr>
          <w:rFonts w:hint="eastAsia" w:ascii="Times New Roman" w:hAnsi="Times New Roman" w:eastAsia="仿宋_GB2312"/>
          <w:b w:val="0"/>
          <w:bCs/>
        </w:rPr>
        <w:t>“</w:t>
      </w:r>
      <w:r>
        <w:rPr>
          <w:rFonts w:ascii="Times New Roman" w:hAnsi="Times New Roman" w:eastAsia="仿宋_GB2312"/>
          <w:b w:val="0"/>
          <w:bCs/>
        </w:rPr>
        <w:t>避险技能提升地图</w:t>
      </w:r>
      <w:r>
        <w:rPr>
          <w:rFonts w:hint="eastAsia" w:ascii="Times New Roman" w:hAnsi="Times New Roman" w:eastAsia="仿宋_GB2312"/>
          <w:b w:val="0"/>
          <w:bCs/>
        </w:rPr>
        <w:t>”</w:t>
      </w:r>
      <w:r>
        <w:rPr>
          <w:rFonts w:ascii="Times New Roman" w:hAnsi="Times New Roman" w:eastAsia="仿宋_GB2312"/>
          <w:b w:val="0"/>
          <w:bCs/>
        </w:rPr>
        <w:t>，通过建立一支</w:t>
      </w:r>
      <w:r>
        <w:rPr>
          <w:rFonts w:hint="eastAsia" w:ascii="Times New Roman" w:hAnsi="Times New Roman" w:eastAsia="仿宋_GB2312"/>
          <w:b w:val="0"/>
          <w:bCs/>
        </w:rPr>
        <w:t>“</w:t>
      </w:r>
      <w:r>
        <w:rPr>
          <w:rFonts w:ascii="Times New Roman" w:hAnsi="Times New Roman" w:eastAsia="仿宋_GB2312"/>
          <w:b w:val="0"/>
          <w:bCs/>
        </w:rPr>
        <w:t>应急科普志愿宣讲团</w:t>
      </w:r>
      <w:r>
        <w:rPr>
          <w:rFonts w:hint="eastAsia" w:ascii="Times New Roman" w:hAnsi="Times New Roman" w:eastAsia="仿宋_GB2312"/>
          <w:b w:val="0"/>
          <w:bCs/>
        </w:rPr>
        <w:t>”</w:t>
      </w:r>
      <w:r>
        <w:rPr>
          <w:rFonts w:ascii="Times New Roman" w:hAnsi="Times New Roman" w:eastAsia="仿宋_GB2312"/>
          <w:b w:val="0"/>
          <w:bCs/>
        </w:rPr>
        <w:t>、推进一批</w:t>
      </w:r>
      <w:r>
        <w:rPr>
          <w:rFonts w:hint="eastAsia" w:ascii="Times New Roman" w:hAnsi="Times New Roman" w:eastAsia="仿宋_GB2312"/>
          <w:b w:val="0"/>
          <w:bCs/>
        </w:rPr>
        <w:t>“</w:t>
      </w:r>
      <w:r>
        <w:rPr>
          <w:rFonts w:ascii="Times New Roman" w:hAnsi="Times New Roman" w:eastAsia="仿宋_GB2312"/>
          <w:b w:val="0"/>
          <w:bCs/>
        </w:rPr>
        <w:t>避险技能+1</w:t>
      </w:r>
      <w:r>
        <w:rPr>
          <w:rFonts w:hint="eastAsia" w:ascii="Times New Roman" w:hAnsi="Times New Roman" w:eastAsia="仿宋_GB2312"/>
          <w:b w:val="0"/>
          <w:bCs/>
        </w:rPr>
        <w:t>”</w:t>
      </w:r>
      <w:r>
        <w:rPr>
          <w:rFonts w:ascii="Times New Roman" w:hAnsi="Times New Roman" w:eastAsia="仿宋_GB2312"/>
          <w:b w:val="0"/>
          <w:bCs/>
        </w:rPr>
        <w:t>主题宣讲、开展一批</w:t>
      </w:r>
      <w:r>
        <w:rPr>
          <w:rFonts w:hint="eastAsia" w:ascii="Times New Roman" w:hAnsi="Times New Roman" w:eastAsia="仿宋_GB2312"/>
          <w:b w:val="0"/>
          <w:bCs/>
        </w:rPr>
        <w:t>“</w:t>
      </w:r>
      <w:r>
        <w:rPr>
          <w:rFonts w:ascii="Times New Roman" w:hAnsi="Times New Roman" w:eastAsia="仿宋_GB2312"/>
          <w:b w:val="0"/>
          <w:bCs/>
        </w:rPr>
        <w:t>避险技能+1</w:t>
      </w:r>
      <w:r>
        <w:rPr>
          <w:rFonts w:hint="eastAsia" w:ascii="Times New Roman" w:hAnsi="Times New Roman" w:eastAsia="仿宋_GB2312"/>
          <w:b w:val="0"/>
          <w:bCs/>
        </w:rPr>
        <w:t>”</w:t>
      </w:r>
      <w:r>
        <w:rPr>
          <w:rFonts w:ascii="Times New Roman" w:hAnsi="Times New Roman" w:eastAsia="仿宋_GB2312"/>
          <w:b w:val="0"/>
          <w:bCs/>
        </w:rPr>
        <w:t>挑战活动、制作一批</w:t>
      </w:r>
      <w:r>
        <w:rPr>
          <w:rFonts w:hint="eastAsia" w:ascii="Times New Roman" w:hAnsi="Times New Roman" w:eastAsia="仿宋_GB2312"/>
          <w:b w:val="0"/>
          <w:bCs/>
        </w:rPr>
        <w:t>“</w:t>
      </w:r>
      <w:r>
        <w:rPr>
          <w:rFonts w:ascii="Times New Roman" w:hAnsi="Times New Roman" w:eastAsia="仿宋_GB2312"/>
          <w:b w:val="0"/>
          <w:bCs/>
        </w:rPr>
        <w:t>1分钟避险课堂</w:t>
      </w:r>
      <w:r>
        <w:rPr>
          <w:rFonts w:hint="eastAsia" w:ascii="Times New Roman" w:hAnsi="Times New Roman" w:eastAsia="仿宋_GB2312"/>
          <w:b w:val="0"/>
          <w:bCs/>
        </w:rPr>
        <w:t>”</w:t>
      </w:r>
      <w:r>
        <w:rPr>
          <w:rFonts w:ascii="Times New Roman" w:hAnsi="Times New Roman" w:eastAsia="仿宋_GB2312"/>
          <w:b w:val="0"/>
          <w:bCs/>
        </w:rPr>
        <w:t>科普短片，督促社区办好科普活动、学校上好安全课堂、企业扎实应急演练，持续深化安全宣传</w:t>
      </w:r>
      <w:r>
        <w:rPr>
          <w:rFonts w:hint="eastAsia" w:ascii="Times New Roman" w:hAnsi="Times New Roman" w:eastAsia="仿宋_GB2312"/>
          <w:b w:val="0"/>
          <w:bCs/>
        </w:rPr>
        <w:t>“</w:t>
      </w:r>
      <w:r>
        <w:rPr>
          <w:rFonts w:ascii="Times New Roman" w:hAnsi="Times New Roman" w:eastAsia="仿宋_GB2312"/>
          <w:b w:val="0"/>
          <w:bCs/>
        </w:rPr>
        <w:t>五进</w:t>
      </w:r>
      <w:r>
        <w:rPr>
          <w:rFonts w:hint="eastAsia" w:ascii="Times New Roman" w:hAnsi="Times New Roman" w:eastAsia="仿宋_GB2312"/>
          <w:b w:val="0"/>
          <w:bCs/>
        </w:rPr>
        <w:t>”</w:t>
      </w:r>
      <w:r>
        <w:rPr>
          <w:rFonts w:ascii="Times New Roman" w:hAnsi="Times New Roman" w:eastAsia="仿宋_GB2312"/>
          <w:b w:val="0"/>
          <w:bCs/>
        </w:rPr>
        <w:t>，助力市民每年多掌握一项技能。</w:t>
      </w:r>
    </w:p>
    <w:p w14:paraId="4380B7F6">
      <w:pPr>
        <w:pStyle w:val="23"/>
        <w:adjustRightInd w:val="0"/>
        <w:snapToGrid w:val="0"/>
        <w:spacing w:line="560" w:lineRule="exact"/>
        <w:ind w:firstLine="643" w:firstLineChars="200"/>
        <w:jc w:val="both"/>
        <w:rPr>
          <w:rFonts w:ascii="Times New Roman" w:hAnsi="Times New Roman" w:eastAsia="仿宋_GB2312" w:cs="Times New Roman"/>
          <w:b/>
          <w:kern w:val="2"/>
          <w:sz w:val="32"/>
          <w:szCs w:val="32"/>
        </w:rPr>
      </w:pPr>
      <w:r>
        <w:rPr>
          <w:rFonts w:ascii="Times New Roman" w:hAnsi="Times New Roman" w:eastAsia="仿宋_GB2312" w:cs="Times New Roman"/>
          <w:b/>
          <w:sz w:val="32"/>
          <w:szCs w:val="32"/>
        </w:rPr>
        <w:t>2.城市安全文化融入工程</w:t>
      </w:r>
    </w:p>
    <w:p w14:paraId="76FE581C">
      <w:pPr>
        <w:adjustRightInd w:val="0"/>
        <w:snapToGrid w:val="0"/>
        <w:spacing w:line="560" w:lineRule="exact"/>
        <w:ind w:firstLine="640"/>
        <w:jc w:val="both"/>
        <w:rPr>
          <w:rFonts w:ascii="Times New Roman" w:hAnsi="Times New Roman" w:eastAsia="仿宋_GB2312"/>
          <w:b w:val="0"/>
          <w:bCs/>
        </w:rPr>
      </w:pPr>
      <w:r>
        <w:rPr>
          <w:rFonts w:ascii="Times New Roman" w:hAnsi="Times New Roman" w:eastAsia="仿宋_GB2312"/>
          <w:b w:val="0"/>
          <w:bCs/>
        </w:rPr>
        <w:t>加大全媒体造势，用好市主流媒体及各单位公众号、视频号，加大避险逃生知识传播覆盖率达到率。推进全城公益传播，整合地铁、公交、出租车、商圈等各类屏体资源，用好社区企业</w:t>
      </w:r>
      <w:r>
        <w:rPr>
          <w:rFonts w:hint="eastAsia" w:ascii="Times New Roman" w:hAnsi="Times New Roman" w:eastAsia="仿宋_GB2312"/>
          <w:b w:val="0"/>
          <w:bCs/>
        </w:rPr>
        <w:t>“</w:t>
      </w:r>
      <w:r>
        <w:rPr>
          <w:rFonts w:ascii="Times New Roman" w:hAnsi="Times New Roman" w:eastAsia="仿宋_GB2312"/>
          <w:b w:val="0"/>
          <w:bCs/>
        </w:rPr>
        <w:t>大小屏</w:t>
      </w:r>
      <w:r>
        <w:rPr>
          <w:rFonts w:hint="eastAsia" w:ascii="Times New Roman" w:hAnsi="Times New Roman" w:eastAsia="仿宋_GB2312"/>
          <w:b w:val="0"/>
          <w:bCs/>
        </w:rPr>
        <w:t>”</w:t>
      </w:r>
      <w:r>
        <w:rPr>
          <w:rFonts w:ascii="Times New Roman" w:hAnsi="Times New Roman" w:eastAsia="仿宋_GB2312"/>
          <w:b w:val="0"/>
          <w:bCs/>
        </w:rPr>
        <w:t>、农村</w:t>
      </w:r>
      <w:r>
        <w:rPr>
          <w:rFonts w:hint="eastAsia" w:ascii="Times New Roman" w:hAnsi="Times New Roman" w:eastAsia="仿宋_GB2312"/>
          <w:b w:val="0"/>
          <w:bCs/>
        </w:rPr>
        <w:t>“</w:t>
      </w:r>
      <w:r>
        <w:rPr>
          <w:rFonts w:ascii="Times New Roman" w:hAnsi="Times New Roman" w:eastAsia="仿宋_GB2312"/>
          <w:b w:val="0"/>
          <w:bCs/>
        </w:rPr>
        <w:t>大喇叭</w:t>
      </w:r>
      <w:r>
        <w:rPr>
          <w:rFonts w:hint="eastAsia" w:ascii="Times New Roman" w:hAnsi="Times New Roman" w:eastAsia="仿宋_GB2312"/>
          <w:b w:val="0"/>
          <w:bCs/>
        </w:rPr>
        <w:t>”</w:t>
      </w:r>
      <w:r>
        <w:rPr>
          <w:rFonts w:ascii="Times New Roman" w:hAnsi="Times New Roman" w:eastAsia="仿宋_GB2312"/>
          <w:b w:val="0"/>
          <w:bCs/>
        </w:rPr>
        <w:t>、公益短信、快递柜等载体，滚动投放安全公益广告。打造</w:t>
      </w:r>
      <w:r>
        <w:rPr>
          <w:rFonts w:hint="eastAsia" w:ascii="Times New Roman" w:hAnsi="Times New Roman" w:eastAsia="仿宋_GB2312"/>
          <w:b w:val="0"/>
          <w:bCs/>
        </w:rPr>
        <w:t>“</w:t>
      </w:r>
      <w:r>
        <w:rPr>
          <w:rFonts w:ascii="Times New Roman" w:hAnsi="Times New Roman" w:eastAsia="仿宋_GB2312"/>
          <w:b w:val="0"/>
          <w:bCs/>
        </w:rPr>
        <w:t>安全主题生活圈</w:t>
      </w:r>
      <w:r>
        <w:rPr>
          <w:rFonts w:hint="eastAsia" w:ascii="Times New Roman" w:hAnsi="Times New Roman" w:eastAsia="仿宋_GB2312"/>
          <w:b w:val="0"/>
          <w:bCs/>
        </w:rPr>
        <w:t>”</w:t>
      </w:r>
      <w:r>
        <w:rPr>
          <w:rFonts w:ascii="Times New Roman" w:hAnsi="Times New Roman" w:eastAsia="仿宋_GB2312"/>
          <w:b w:val="0"/>
          <w:bCs/>
        </w:rPr>
        <w:t>，精准推进</w:t>
      </w:r>
      <w:r>
        <w:rPr>
          <w:rFonts w:hint="eastAsia" w:ascii="Times New Roman" w:hAnsi="Times New Roman" w:eastAsia="仿宋_GB2312"/>
          <w:b w:val="0"/>
          <w:bCs/>
        </w:rPr>
        <w:t>“</w:t>
      </w:r>
      <w:r>
        <w:rPr>
          <w:rFonts w:ascii="Times New Roman" w:hAnsi="Times New Roman" w:eastAsia="仿宋_GB2312"/>
          <w:b w:val="0"/>
          <w:bCs/>
        </w:rPr>
        <w:t>小而精</w:t>
      </w:r>
      <w:r>
        <w:rPr>
          <w:rFonts w:hint="eastAsia" w:ascii="Times New Roman" w:hAnsi="Times New Roman" w:eastAsia="仿宋_GB2312"/>
          <w:b w:val="0"/>
          <w:bCs/>
        </w:rPr>
        <w:t>”</w:t>
      </w:r>
      <w:r>
        <w:rPr>
          <w:rFonts w:ascii="Times New Roman" w:hAnsi="Times New Roman" w:eastAsia="仿宋_GB2312"/>
          <w:b w:val="0"/>
          <w:bCs/>
        </w:rPr>
        <w:t>安全文化阵地建设，面向外卖员、快递员等新业态群体打造安全暖</w:t>
      </w:r>
      <w:r>
        <w:rPr>
          <w:rFonts w:hint="eastAsia" w:ascii="Times New Roman" w:hAnsi="Times New Roman" w:eastAsia="仿宋_GB2312"/>
          <w:b w:val="0"/>
          <w:bCs/>
        </w:rPr>
        <w:t>“</w:t>
      </w:r>
      <w:r>
        <w:rPr>
          <w:rFonts w:ascii="Times New Roman" w:hAnsi="Times New Roman" w:eastAsia="仿宋_GB2312"/>
          <w:b w:val="0"/>
          <w:bCs/>
        </w:rPr>
        <w:t>新</w:t>
      </w:r>
      <w:r>
        <w:rPr>
          <w:rFonts w:hint="eastAsia" w:ascii="Times New Roman" w:hAnsi="Times New Roman" w:eastAsia="仿宋_GB2312"/>
          <w:b w:val="0"/>
          <w:bCs/>
        </w:rPr>
        <w:t>”</w:t>
      </w:r>
      <w:r>
        <w:rPr>
          <w:rFonts w:ascii="Times New Roman" w:hAnsi="Times New Roman" w:eastAsia="仿宋_GB2312"/>
          <w:b w:val="0"/>
          <w:bCs/>
        </w:rPr>
        <w:t>驿站，在社区、商圈、文旅景点融入安全元素，推动避险技能实现随时随地可触可学。</w:t>
      </w:r>
    </w:p>
    <w:p w14:paraId="2B898CFA">
      <w:pPr>
        <w:adjustRightInd w:val="0"/>
        <w:snapToGrid w:val="0"/>
        <w:spacing w:line="560" w:lineRule="exact"/>
        <w:ind w:firstLine="641"/>
        <w:jc w:val="both"/>
        <w:rPr>
          <w:rFonts w:ascii="Times New Roman" w:hAnsi="Times New Roman" w:eastAsia="仿宋_GB2312"/>
          <w:b w:val="0"/>
          <w:bCs/>
        </w:rPr>
      </w:pPr>
      <w:r>
        <w:rPr>
          <w:rFonts w:ascii="Times New Roman" w:hAnsi="Times New Roman" w:eastAsia="仿宋_GB2312"/>
        </w:rPr>
        <w:t>3.注册安全工程师队伍培育提升工程</w:t>
      </w:r>
    </w:p>
    <w:p w14:paraId="38AEF29A">
      <w:pPr>
        <w:adjustRightInd w:val="0"/>
        <w:snapToGrid w:val="0"/>
        <w:spacing w:line="560" w:lineRule="exact"/>
        <w:ind w:firstLine="640"/>
        <w:jc w:val="both"/>
        <w:rPr>
          <w:rFonts w:ascii="Times New Roman" w:hAnsi="Times New Roman" w:eastAsia="仿宋_GB2312"/>
          <w:b w:val="0"/>
          <w:bCs/>
        </w:rPr>
      </w:pPr>
      <w:r>
        <w:rPr>
          <w:rFonts w:ascii="Times New Roman" w:hAnsi="Times New Roman" w:eastAsia="仿宋_GB2312"/>
          <w:b w:val="0"/>
          <w:bCs/>
        </w:rPr>
        <w:t>实施注册安全工程师队伍培育提升工程，组建注册安全工程师协会，组织开展注册安全工程师考前辅导公益培训活动，深入推进“协会促安”专项行动。督促危险物品的生产、储存、装卸单位，金属冶炼单位，以及建筑施工、道路运输等重点行业，高温熔融、深井铸造、涉氨制冷、粉尘涉爆、危险物品经营等重点领域规模以上生产经营单位、现场作业人数100人以上工业企业，第三方服务机构100%配备注册安全工程师从事安全生产管理工作。引导从业人员超过300人的其他生产经营单位，逐步按比例配备相关专业注册安全工程师从事安全生产管理工作。通过系统化培育、精准化赋能、机制化创新，到</w:t>
      </w:r>
      <w:r>
        <w:rPr>
          <w:rFonts w:hint="eastAsia" w:ascii="Times New Roman" w:hAnsi="Times New Roman" w:eastAsia="仿宋_GB2312"/>
          <w:b w:val="0"/>
          <w:bCs/>
        </w:rPr>
        <w:t>“</w:t>
      </w:r>
      <w:r>
        <w:rPr>
          <w:rFonts w:ascii="Times New Roman" w:hAnsi="Times New Roman" w:eastAsia="仿宋_GB2312"/>
          <w:b w:val="0"/>
          <w:bCs/>
        </w:rPr>
        <w:t>十五</w:t>
      </w:r>
      <w:r>
        <w:rPr>
          <w:rFonts w:hint="eastAsia" w:ascii="Calibri" w:hAnsi="Calibri" w:eastAsia="仿宋_GB2312" w:cs="Calibri"/>
          <w:b w:val="0"/>
          <w:bCs/>
        </w:rPr>
        <w:t>五</w:t>
      </w:r>
      <w:r>
        <w:rPr>
          <w:rFonts w:hint="eastAsia" w:ascii="Times New Roman" w:hAnsi="Times New Roman" w:eastAsia="仿宋_GB2312"/>
          <w:b w:val="0"/>
          <w:bCs/>
        </w:rPr>
        <w:t>”</w:t>
      </w:r>
      <w:r>
        <w:rPr>
          <w:rFonts w:ascii="Times New Roman" w:hAnsi="Times New Roman" w:eastAsia="仿宋_GB2312"/>
          <w:b w:val="0"/>
          <w:bCs/>
        </w:rPr>
        <w:t>规划期末，确保我市通过注册安全工程师职业资格考试总人数达到1800人以上，其中通过中级注册安全工程师资格考试人数突破1000人，安全监管人员通过注册安全工程师考试人数提升50%，基层安全生产巡查员通过注册安全工程师考试人数提升30%，建设一支数量充足、结构合理、素质优良、专业过硬的注册安全工程师队伍。</w:t>
      </w:r>
    </w:p>
    <w:p w14:paraId="21F94F16">
      <w:pPr>
        <w:adjustRightInd w:val="0"/>
        <w:snapToGrid w:val="0"/>
        <w:spacing w:line="560" w:lineRule="exact"/>
        <w:ind w:firstLine="641"/>
        <w:jc w:val="both"/>
        <w:rPr>
          <w:rFonts w:ascii="Times New Roman" w:hAnsi="Times New Roman" w:eastAsia="仿宋_GB2312"/>
          <w:b w:val="0"/>
          <w:bCs/>
        </w:rPr>
      </w:pPr>
      <w:r>
        <w:rPr>
          <w:rFonts w:ascii="Times New Roman" w:hAnsi="Times New Roman" w:eastAsia="仿宋_GB2312"/>
        </w:rPr>
        <w:t>4.安全生产培训考试机构达标建设工程</w:t>
      </w:r>
    </w:p>
    <w:p w14:paraId="45CC3222">
      <w:pPr>
        <w:adjustRightInd w:val="0"/>
        <w:snapToGrid w:val="0"/>
        <w:spacing w:line="560" w:lineRule="exact"/>
        <w:ind w:firstLine="640"/>
        <w:jc w:val="both"/>
        <w:rPr>
          <w:rFonts w:ascii="Times New Roman" w:hAnsi="Times New Roman" w:eastAsia="仿宋_GB2312"/>
          <w:b w:val="0"/>
          <w:bCs/>
        </w:rPr>
      </w:pPr>
      <w:r>
        <w:rPr>
          <w:rFonts w:ascii="Times New Roman" w:hAnsi="Times New Roman" w:eastAsia="仿宋_GB2312"/>
          <w:b w:val="0"/>
          <w:bCs/>
        </w:rPr>
        <w:t>锚定</w:t>
      </w:r>
      <w:r>
        <w:rPr>
          <w:rFonts w:hint="eastAsia" w:ascii="Times New Roman" w:hAnsi="Times New Roman" w:eastAsia="仿宋_GB2312"/>
          <w:b w:val="0"/>
          <w:bCs/>
        </w:rPr>
        <w:t>“</w:t>
      </w:r>
      <w:r>
        <w:rPr>
          <w:rFonts w:ascii="Times New Roman" w:hAnsi="Times New Roman" w:eastAsia="仿宋_GB2312"/>
          <w:b w:val="0"/>
          <w:bCs/>
        </w:rPr>
        <w:t>打造全省一流培训考试机构、树立全省一流标杆</w:t>
      </w:r>
      <w:r>
        <w:rPr>
          <w:rFonts w:hint="eastAsia" w:ascii="Times New Roman" w:hAnsi="Times New Roman" w:eastAsia="仿宋_GB2312"/>
          <w:b w:val="0"/>
          <w:bCs/>
        </w:rPr>
        <w:t>”</w:t>
      </w:r>
      <w:r>
        <w:rPr>
          <w:rFonts w:ascii="Times New Roman" w:hAnsi="Times New Roman" w:eastAsia="仿宋_GB2312"/>
          <w:b w:val="0"/>
          <w:bCs/>
        </w:rPr>
        <w:t>目标，强化考官、考评员和考务工作人员</w:t>
      </w:r>
      <w:r>
        <w:rPr>
          <w:rFonts w:hint="eastAsia" w:ascii="Times New Roman" w:hAnsi="Times New Roman" w:eastAsia="仿宋_GB2312"/>
          <w:b w:val="0"/>
          <w:bCs/>
        </w:rPr>
        <w:t>“</w:t>
      </w:r>
      <w:r>
        <w:rPr>
          <w:rFonts w:ascii="Times New Roman" w:hAnsi="Times New Roman" w:eastAsia="仿宋_GB2312"/>
          <w:b w:val="0"/>
          <w:bCs/>
        </w:rPr>
        <w:t>三支队伍</w:t>
      </w:r>
      <w:r>
        <w:rPr>
          <w:rFonts w:hint="eastAsia" w:ascii="Times New Roman" w:hAnsi="Times New Roman" w:eastAsia="仿宋_GB2312"/>
          <w:b w:val="0"/>
          <w:bCs/>
        </w:rPr>
        <w:t>”</w:t>
      </w:r>
      <w:r>
        <w:rPr>
          <w:rFonts w:ascii="Times New Roman" w:hAnsi="Times New Roman" w:eastAsia="仿宋_GB2312"/>
          <w:b w:val="0"/>
          <w:bCs/>
        </w:rPr>
        <w:t>能力建设，持续规范电工、高处、焊接与热切割作业等特种作业人员培训考核和安全管理工作，建成涵盖6大工种、设置8个考场、配备80台套设施设备、拥有55个考位的实物实景化考场，加大安全生产考试领域数字化智能化应用场景建设力度，推进有限空间监护作业等通用工种</w:t>
      </w:r>
      <w:r>
        <w:rPr>
          <w:rFonts w:hint="eastAsia" w:ascii="Times New Roman" w:hAnsi="Times New Roman" w:eastAsia="仿宋_GB2312"/>
          <w:b w:val="0"/>
          <w:bCs/>
        </w:rPr>
        <w:t>“</w:t>
      </w:r>
      <w:r>
        <w:rPr>
          <w:rFonts w:ascii="Times New Roman" w:hAnsi="Times New Roman" w:eastAsia="仿宋_GB2312"/>
          <w:b w:val="0"/>
          <w:bCs/>
        </w:rPr>
        <w:t>智慧考场</w:t>
      </w:r>
      <w:r>
        <w:rPr>
          <w:rFonts w:hint="eastAsia" w:ascii="Times New Roman" w:hAnsi="Times New Roman" w:eastAsia="仿宋_GB2312"/>
          <w:b w:val="0"/>
          <w:bCs/>
        </w:rPr>
        <w:t>”</w:t>
      </w:r>
      <w:r>
        <w:rPr>
          <w:rFonts w:ascii="Times New Roman" w:hAnsi="Times New Roman" w:eastAsia="仿宋_GB2312"/>
          <w:b w:val="0"/>
          <w:bCs/>
        </w:rPr>
        <w:t>建设，部署多工种、全科目AI智能辅助评分系统，重点推动电工、焊接、高处作业等领域实现人工智能辅助考评，持续提升安全生产考试组考及评分的规范化、智能化水平，指导服务培训机构从师资力量配备、教学评估管理、场地设备配置、按纲施训质量等方面全方位加强规范化建设，巩固提升全省县级示范培训考试点领先优势，全面增强安全生产培训考试服务保障效能。</w:t>
      </w:r>
    </w:p>
    <w:p w14:paraId="6AAA2CBE">
      <w:pPr>
        <w:adjustRightInd w:val="0"/>
        <w:snapToGrid w:val="0"/>
        <w:spacing w:line="560" w:lineRule="exact"/>
        <w:ind w:firstLine="641"/>
        <w:jc w:val="both"/>
        <w:rPr>
          <w:rFonts w:ascii="Times New Roman" w:hAnsi="Times New Roman" w:eastAsia="仿宋_GB2312"/>
          <w:b w:val="0"/>
          <w:bCs/>
        </w:rPr>
      </w:pPr>
      <w:r>
        <w:rPr>
          <w:rFonts w:ascii="Times New Roman" w:hAnsi="Times New Roman" w:eastAsia="仿宋_GB2312"/>
        </w:rPr>
        <w:t>5.安全宣教培训阵地建设工程</w:t>
      </w:r>
    </w:p>
    <w:p w14:paraId="046DC43A">
      <w:pPr>
        <w:adjustRightInd w:val="0"/>
        <w:snapToGrid w:val="0"/>
        <w:spacing w:line="560" w:lineRule="exact"/>
        <w:ind w:firstLine="640"/>
        <w:jc w:val="both"/>
        <w:rPr>
          <w:rFonts w:ascii="Times New Roman" w:hAnsi="Times New Roman" w:eastAsia="仿宋_GB2312"/>
          <w:b w:val="0"/>
          <w:bCs/>
        </w:rPr>
      </w:pPr>
      <w:r>
        <w:rPr>
          <w:rFonts w:ascii="Times New Roman" w:hAnsi="Times New Roman" w:eastAsia="仿宋_GB2312"/>
          <w:b w:val="0"/>
          <w:bCs/>
        </w:rPr>
        <w:t>持续完善</w:t>
      </w:r>
      <w:r>
        <w:rPr>
          <w:rFonts w:hint="eastAsia" w:ascii="Times New Roman" w:hAnsi="Times New Roman" w:eastAsia="仿宋_GB2312"/>
          <w:b w:val="0"/>
          <w:bCs/>
        </w:rPr>
        <w:t>“</w:t>
      </w:r>
      <w:r>
        <w:rPr>
          <w:rFonts w:ascii="Times New Roman" w:hAnsi="Times New Roman" w:eastAsia="仿宋_GB2312"/>
          <w:b w:val="0"/>
          <w:bCs/>
        </w:rPr>
        <w:t>1+11+N</w:t>
      </w:r>
      <w:r>
        <w:rPr>
          <w:rFonts w:hint="eastAsia" w:ascii="Times New Roman" w:hAnsi="Times New Roman" w:eastAsia="仿宋_GB2312"/>
          <w:b w:val="0"/>
          <w:bCs/>
        </w:rPr>
        <w:t>”</w:t>
      </w:r>
      <w:r>
        <w:rPr>
          <w:rFonts w:ascii="Times New Roman" w:hAnsi="Times New Roman" w:eastAsia="仿宋_GB2312"/>
          <w:b w:val="0"/>
          <w:bCs/>
        </w:rPr>
        <w:t>全民安全教育培训体系，强化安全教育学院统筹协调作用，依托</w:t>
      </w:r>
      <w:r>
        <w:rPr>
          <w:rFonts w:hint="eastAsia" w:ascii="Times New Roman" w:hAnsi="Times New Roman" w:eastAsia="仿宋_GB2312"/>
          <w:b w:val="0"/>
          <w:bCs/>
        </w:rPr>
        <w:t>“</w:t>
      </w:r>
      <w:r>
        <w:rPr>
          <w:rFonts w:ascii="Times New Roman" w:hAnsi="Times New Roman" w:eastAsia="仿宋_GB2312"/>
          <w:b w:val="0"/>
          <w:bCs/>
        </w:rPr>
        <w:t>应急365</w:t>
      </w:r>
      <w:r>
        <w:rPr>
          <w:rFonts w:hint="eastAsia" w:ascii="Times New Roman" w:hAnsi="Times New Roman" w:eastAsia="仿宋_GB2312"/>
          <w:b w:val="0"/>
          <w:bCs/>
        </w:rPr>
        <w:t>”</w:t>
      </w:r>
      <w:r>
        <w:rPr>
          <w:rFonts w:ascii="Times New Roman" w:hAnsi="Times New Roman" w:eastAsia="仿宋_GB2312"/>
          <w:b w:val="0"/>
          <w:bCs/>
        </w:rPr>
        <w:t>加快线上</w:t>
      </w:r>
      <w:r>
        <w:rPr>
          <w:rFonts w:hint="eastAsia" w:ascii="Times New Roman" w:hAnsi="Times New Roman" w:eastAsia="仿宋_GB2312"/>
          <w:b w:val="0"/>
          <w:bCs/>
        </w:rPr>
        <w:t>“</w:t>
      </w:r>
      <w:r>
        <w:rPr>
          <w:rFonts w:ascii="Times New Roman" w:hAnsi="Times New Roman" w:eastAsia="仿宋_GB2312"/>
          <w:b w:val="0"/>
          <w:bCs/>
        </w:rPr>
        <w:t>安全公开课程</w:t>
      </w:r>
      <w:r>
        <w:rPr>
          <w:rFonts w:hint="eastAsia" w:ascii="Times New Roman" w:hAnsi="Times New Roman" w:eastAsia="仿宋_GB2312"/>
          <w:b w:val="0"/>
          <w:bCs/>
        </w:rPr>
        <w:t>”</w:t>
      </w:r>
      <w:r>
        <w:rPr>
          <w:rFonts w:ascii="Times New Roman" w:hAnsi="Times New Roman" w:eastAsia="仿宋_GB2312"/>
          <w:b w:val="0"/>
          <w:bCs/>
        </w:rPr>
        <w:t>资源库建设，采用数字化交付手段，以</w:t>
      </w:r>
      <w:r>
        <w:rPr>
          <w:rFonts w:hint="eastAsia" w:ascii="Times New Roman" w:hAnsi="Times New Roman" w:eastAsia="仿宋_GB2312"/>
          <w:b w:val="0"/>
          <w:bCs/>
        </w:rPr>
        <w:t>“</w:t>
      </w:r>
      <w:r>
        <w:rPr>
          <w:rFonts w:ascii="Times New Roman" w:hAnsi="Times New Roman" w:eastAsia="仿宋_GB2312"/>
          <w:b w:val="0"/>
          <w:bCs/>
        </w:rPr>
        <w:t>平台+培训</w:t>
      </w:r>
      <w:r>
        <w:rPr>
          <w:rFonts w:hint="eastAsia" w:ascii="Times New Roman" w:hAnsi="Times New Roman" w:eastAsia="仿宋_GB2312"/>
          <w:b w:val="0"/>
          <w:bCs/>
        </w:rPr>
        <w:t>”“</w:t>
      </w:r>
      <w:r>
        <w:rPr>
          <w:rFonts w:ascii="Times New Roman" w:hAnsi="Times New Roman" w:eastAsia="仿宋_GB2312"/>
          <w:b w:val="0"/>
          <w:bCs/>
        </w:rPr>
        <w:t>AI赋能培训</w:t>
      </w:r>
      <w:r>
        <w:rPr>
          <w:rFonts w:hint="eastAsia" w:ascii="Times New Roman" w:hAnsi="Times New Roman" w:eastAsia="仿宋_GB2312"/>
          <w:b w:val="0"/>
          <w:bCs/>
        </w:rPr>
        <w:t>”</w:t>
      </w:r>
      <w:r>
        <w:rPr>
          <w:rFonts w:ascii="Times New Roman" w:hAnsi="Times New Roman" w:eastAsia="仿宋_GB2312"/>
          <w:b w:val="0"/>
          <w:bCs/>
        </w:rPr>
        <w:t>双模式覆盖各类培训场景，实现培训全过程数字化、场景化管理。举办领导干部安全生产专题研讨班，分级分类开展安全监管人员、安全生产巡查员培训。紧盯重点岗位落实全员培训要求，重点覆盖企业主要负责人、安全生产管理人员、特种作业人员，以及劳务派遣人员、临时用工人员。推进</w:t>
      </w:r>
      <w:r>
        <w:rPr>
          <w:rFonts w:hint="eastAsia" w:ascii="Times New Roman" w:hAnsi="Times New Roman" w:eastAsia="仿宋_GB2312"/>
          <w:b w:val="0"/>
          <w:bCs/>
        </w:rPr>
        <w:t>“</w:t>
      </w:r>
      <w:r>
        <w:rPr>
          <w:rFonts w:ascii="Times New Roman" w:hAnsi="Times New Roman" w:eastAsia="仿宋_GB2312"/>
          <w:b w:val="0"/>
          <w:bCs/>
        </w:rPr>
        <w:t>一区镇一中心一品牌</w:t>
      </w:r>
      <w:r>
        <w:rPr>
          <w:rFonts w:hint="eastAsia" w:ascii="Times New Roman" w:hAnsi="Times New Roman" w:eastAsia="仿宋_GB2312"/>
          <w:b w:val="0"/>
          <w:bCs/>
        </w:rPr>
        <w:t>”</w:t>
      </w:r>
      <w:r>
        <w:rPr>
          <w:rFonts w:ascii="Times New Roman" w:hAnsi="Times New Roman" w:eastAsia="仿宋_GB2312"/>
          <w:b w:val="0"/>
          <w:bCs/>
        </w:rPr>
        <w:t>建设，从人员配置、资金保障、场地设施、师资力量、课程设置、覆盖对象、运行管理、质效评估等方面发力，推动11所区镇安全学校实现实体化、专业化、规范化、特色化发展。紧扣安全生产月、防灾减灾日等重要节点，深化</w:t>
      </w:r>
      <w:r>
        <w:rPr>
          <w:rFonts w:hint="eastAsia" w:ascii="Times New Roman" w:hAnsi="Times New Roman" w:eastAsia="仿宋_GB2312"/>
          <w:b w:val="0"/>
          <w:bCs/>
        </w:rPr>
        <w:t>“</w:t>
      </w:r>
      <w:r>
        <w:rPr>
          <w:rFonts w:ascii="Times New Roman" w:hAnsi="Times New Roman" w:eastAsia="仿宋_GB2312"/>
          <w:b w:val="0"/>
          <w:bCs/>
        </w:rPr>
        <w:t>争当安全体验官</w:t>
      </w:r>
      <w:r>
        <w:rPr>
          <w:rFonts w:hint="eastAsia" w:ascii="Times New Roman" w:hAnsi="Times New Roman" w:eastAsia="仿宋_GB2312"/>
          <w:b w:val="0"/>
          <w:bCs/>
        </w:rPr>
        <w:t>”“</w:t>
      </w:r>
      <w:r>
        <w:rPr>
          <w:rFonts w:ascii="Times New Roman" w:hAnsi="Times New Roman" w:eastAsia="仿宋_GB2312"/>
          <w:b w:val="0"/>
          <w:bCs/>
        </w:rPr>
        <w:t>应急大挑战</w:t>
      </w:r>
      <w:r>
        <w:rPr>
          <w:rFonts w:hint="eastAsia" w:ascii="Times New Roman" w:hAnsi="Times New Roman" w:eastAsia="仿宋_GB2312"/>
          <w:b w:val="0"/>
          <w:bCs/>
        </w:rPr>
        <w:t>”</w:t>
      </w:r>
      <w:r>
        <w:rPr>
          <w:rFonts w:ascii="Times New Roman" w:hAnsi="Times New Roman" w:eastAsia="仿宋_GB2312"/>
          <w:b w:val="0"/>
          <w:bCs/>
        </w:rPr>
        <w:t>打卡等助企惠民宣安送安主题活动，建强用好安全主题场馆、安全暖</w:t>
      </w:r>
      <w:r>
        <w:rPr>
          <w:rFonts w:hint="eastAsia" w:ascii="Times New Roman" w:hAnsi="Times New Roman" w:eastAsia="仿宋_GB2312"/>
          <w:b w:val="0"/>
          <w:bCs/>
        </w:rPr>
        <w:t>“</w:t>
      </w:r>
      <w:r>
        <w:rPr>
          <w:rFonts w:ascii="Times New Roman" w:hAnsi="Times New Roman" w:eastAsia="仿宋_GB2312"/>
          <w:b w:val="0"/>
          <w:bCs/>
        </w:rPr>
        <w:t>新</w:t>
      </w:r>
      <w:r>
        <w:rPr>
          <w:rFonts w:hint="eastAsia" w:ascii="Times New Roman" w:hAnsi="Times New Roman" w:eastAsia="仿宋_GB2312"/>
          <w:b w:val="0"/>
          <w:bCs/>
        </w:rPr>
        <w:t>”</w:t>
      </w:r>
      <w:r>
        <w:rPr>
          <w:rFonts w:ascii="Times New Roman" w:hAnsi="Times New Roman" w:eastAsia="仿宋_GB2312"/>
          <w:b w:val="0"/>
          <w:bCs/>
        </w:rPr>
        <w:t>驿站，持续丰富</w:t>
      </w:r>
      <w:r>
        <w:rPr>
          <w:rFonts w:hint="eastAsia" w:ascii="Times New Roman" w:hAnsi="Times New Roman" w:eastAsia="仿宋_GB2312"/>
          <w:b w:val="0"/>
          <w:bCs/>
        </w:rPr>
        <w:t>“</w:t>
      </w:r>
      <w:r>
        <w:rPr>
          <w:rFonts w:ascii="Times New Roman" w:hAnsi="Times New Roman" w:eastAsia="仿宋_GB2312"/>
          <w:b w:val="0"/>
          <w:bCs/>
        </w:rPr>
        <w:t>昆山市安全文化阵地一张图</w:t>
      </w:r>
      <w:r>
        <w:rPr>
          <w:rFonts w:hint="eastAsia" w:ascii="Times New Roman" w:hAnsi="Times New Roman" w:eastAsia="仿宋_GB2312"/>
          <w:b w:val="0"/>
          <w:bCs/>
        </w:rPr>
        <w:t>”</w:t>
      </w:r>
      <w:r>
        <w:rPr>
          <w:rFonts w:ascii="Times New Roman" w:hAnsi="Times New Roman" w:eastAsia="仿宋_GB2312"/>
          <w:b w:val="0"/>
          <w:bCs/>
        </w:rPr>
        <w:t>，推动安全学校作为区域安全教育培训中心，在安全宣教阵地建设、重点人员教育培训、安全知识宣传普及、全民安全意识提升等方面更好发挥功能作用。</w:t>
      </w:r>
    </w:p>
    <w:p w14:paraId="43E20B58">
      <w:pPr>
        <w:pStyle w:val="2"/>
        <w:adjustRightInd w:val="0"/>
        <w:snapToGrid w:val="0"/>
        <w:spacing w:before="0" w:after="0" w:line="560" w:lineRule="exact"/>
        <w:ind w:firstLine="640"/>
        <w:jc w:val="both"/>
        <w:rPr>
          <w:rFonts w:ascii="Times New Roman" w:hAnsi="Times New Roman" w:eastAsia="黑体"/>
        </w:rPr>
      </w:pPr>
      <w:bookmarkStart w:id="29" w:name="_Toc26424"/>
      <w:r>
        <w:rPr>
          <w:rFonts w:ascii="Times New Roman" w:hAnsi="Times New Roman" w:eastAsia="黑体"/>
        </w:rPr>
        <w:t>五、规划实施保障</w:t>
      </w:r>
      <w:bookmarkEnd w:id="29"/>
    </w:p>
    <w:p w14:paraId="7D150D16">
      <w:pPr>
        <w:pStyle w:val="3"/>
        <w:adjustRightInd w:val="0"/>
        <w:snapToGrid w:val="0"/>
        <w:spacing w:before="0" w:after="0" w:line="560" w:lineRule="exact"/>
        <w:ind w:firstLine="640"/>
        <w:jc w:val="both"/>
        <w:rPr>
          <w:rFonts w:ascii="Times New Roman" w:hAnsi="Times New Roman" w:eastAsia="楷体_GB2312" w:cs="Times New Roman"/>
        </w:rPr>
      </w:pPr>
      <w:bookmarkStart w:id="30" w:name="_Toc10665"/>
      <w:r>
        <w:rPr>
          <w:rFonts w:ascii="Times New Roman" w:hAnsi="Times New Roman" w:eastAsia="楷体_GB2312" w:cs="Times New Roman"/>
        </w:rPr>
        <w:t>（一）加强组织领导</w:t>
      </w:r>
      <w:bookmarkEnd w:id="30"/>
    </w:p>
    <w:p w14:paraId="7FC27276">
      <w:pPr>
        <w:adjustRightInd w:val="0"/>
        <w:snapToGrid w:val="0"/>
        <w:spacing w:line="560" w:lineRule="exact"/>
        <w:ind w:firstLine="640"/>
        <w:jc w:val="both"/>
        <w:rPr>
          <w:rFonts w:ascii="Times New Roman" w:hAnsi="Times New Roman" w:eastAsia="仿宋_GB2312"/>
          <w:b w:val="0"/>
          <w:bCs/>
        </w:rPr>
      </w:pPr>
      <w:r>
        <w:rPr>
          <w:rFonts w:ascii="Times New Roman" w:hAnsi="Times New Roman" w:eastAsia="仿宋_GB2312"/>
          <w:b w:val="0"/>
          <w:bCs/>
        </w:rPr>
        <w:t>成立由市委、市政府主要领导担任组长的规划实施领导小组，统筹推进本规划实施各项工作。由市应急管理局牵头抓总，做好协调督办，各相关部门、各区镇压实分工责任，配套制定实施方案、任务清单，明确推进时序。建立健全联席会议机制，协调解决规划实施中的难点问题，推动各项任务落地见效。各级各单位要将本规划实施纳入重点工作范畴，落实领导牵头推进、一线督办落实工作机制，压实全链条推进责任。</w:t>
      </w:r>
    </w:p>
    <w:p w14:paraId="34D2A982">
      <w:pPr>
        <w:pStyle w:val="3"/>
        <w:adjustRightInd w:val="0"/>
        <w:snapToGrid w:val="0"/>
        <w:spacing w:before="0" w:after="0" w:line="560" w:lineRule="exact"/>
        <w:ind w:firstLine="640"/>
        <w:jc w:val="both"/>
        <w:rPr>
          <w:rFonts w:ascii="Times New Roman" w:hAnsi="Times New Roman" w:eastAsia="楷体_GB2312" w:cs="Times New Roman"/>
        </w:rPr>
      </w:pPr>
      <w:bookmarkStart w:id="31" w:name="_Toc32046"/>
      <w:r>
        <w:rPr>
          <w:rFonts w:ascii="Times New Roman" w:hAnsi="Times New Roman" w:eastAsia="楷体_GB2312" w:cs="Times New Roman"/>
        </w:rPr>
        <w:t>（二）加大资金投入</w:t>
      </w:r>
      <w:bookmarkEnd w:id="31"/>
    </w:p>
    <w:p w14:paraId="35D7DBBD">
      <w:pPr>
        <w:adjustRightInd w:val="0"/>
        <w:snapToGrid w:val="0"/>
        <w:spacing w:line="560" w:lineRule="exact"/>
        <w:ind w:firstLine="640"/>
        <w:jc w:val="both"/>
        <w:rPr>
          <w:rFonts w:ascii="Times New Roman" w:hAnsi="Times New Roman" w:eastAsia="仿宋_GB2312"/>
          <w:b w:val="0"/>
          <w:bCs/>
        </w:rPr>
      </w:pPr>
      <w:r>
        <w:rPr>
          <w:rFonts w:ascii="Times New Roman" w:hAnsi="Times New Roman" w:eastAsia="仿宋_GB2312"/>
          <w:b w:val="0"/>
          <w:bCs/>
        </w:rPr>
        <w:t>严格遵循事权与支出责任相适应原则，将相关工作经费纳入市、区镇两级财政预算。优化财政支出结构，加大对安全生产</w:t>
      </w:r>
      <w:r>
        <w:rPr>
          <w:rFonts w:hint="eastAsia" w:ascii="Times New Roman" w:hAnsi="Times New Roman" w:eastAsia="仿宋_GB2312"/>
          <w:b w:val="0"/>
          <w:bCs/>
        </w:rPr>
        <w:t>“</w:t>
      </w:r>
      <w:r>
        <w:rPr>
          <w:rFonts w:ascii="Times New Roman" w:hAnsi="Times New Roman" w:eastAsia="仿宋_GB2312"/>
          <w:b w:val="0"/>
          <w:bCs/>
        </w:rPr>
        <w:t>六化</w:t>
      </w:r>
      <w:r>
        <w:rPr>
          <w:rFonts w:hint="eastAsia" w:ascii="Times New Roman" w:hAnsi="Times New Roman" w:eastAsia="仿宋_GB2312"/>
          <w:b w:val="0"/>
          <w:bCs/>
        </w:rPr>
        <w:t>”</w:t>
      </w:r>
      <w:r>
        <w:rPr>
          <w:rFonts w:ascii="Times New Roman" w:hAnsi="Times New Roman" w:eastAsia="仿宋_GB2312"/>
          <w:b w:val="0"/>
          <w:bCs/>
        </w:rPr>
        <w:t>建设、灾害防治、应急救援、科技赋能等重点工程的投入力度。积极争取中央、省级资金支持，鼓励引导社会资本参与应急管理项目建设，构建形成</w:t>
      </w:r>
      <w:r>
        <w:rPr>
          <w:rFonts w:hint="eastAsia" w:ascii="Times New Roman" w:hAnsi="Times New Roman" w:eastAsia="仿宋_GB2312"/>
          <w:b w:val="0"/>
          <w:bCs/>
        </w:rPr>
        <w:t>“</w:t>
      </w:r>
      <w:r>
        <w:rPr>
          <w:rFonts w:ascii="Times New Roman" w:hAnsi="Times New Roman" w:eastAsia="仿宋_GB2312"/>
          <w:b w:val="0"/>
          <w:bCs/>
        </w:rPr>
        <w:t>政府主导、社会参与、多元投入</w:t>
      </w:r>
      <w:r>
        <w:rPr>
          <w:rFonts w:hint="eastAsia" w:ascii="Times New Roman" w:hAnsi="Times New Roman" w:eastAsia="仿宋_GB2312"/>
          <w:b w:val="0"/>
          <w:bCs/>
        </w:rPr>
        <w:t>”</w:t>
      </w:r>
      <w:r>
        <w:rPr>
          <w:rFonts w:ascii="Times New Roman" w:hAnsi="Times New Roman" w:eastAsia="仿宋_GB2312"/>
          <w:b w:val="0"/>
          <w:bCs/>
        </w:rPr>
        <w:t>的资金保障机制。强化财政资金全过程监管，严格落实专款专用要求，推动资金使用提质增效，优先支持本地应急设备企业参与项目，保障工程顺利实施。</w:t>
      </w:r>
    </w:p>
    <w:p w14:paraId="4AD9BD29">
      <w:pPr>
        <w:pStyle w:val="3"/>
        <w:adjustRightInd w:val="0"/>
        <w:snapToGrid w:val="0"/>
        <w:spacing w:before="0" w:after="0" w:line="560" w:lineRule="exact"/>
        <w:ind w:firstLine="640"/>
        <w:jc w:val="both"/>
        <w:rPr>
          <w:rFonts w:ascii="Times New Roman" w:hAnsi="Times New Roman" w:eastAsia="楷体_GB2312" w:cs="Times New Roman"/>
        </w:rPr>
      </w:pPr>
      <w:bookmarkStart w:id="32" w:name="_Toc30723"/>
      <w:r>
        <w:rPr>
          <w:rFonts w:ascii="Times New Roman" w:hAnsi="Times New Roman" w:eastAsia="楷体_GB2312" w:cs="Times New Roman"/>
        </w:rPr>
        <w:t>（三）强化人才支撑</w:t>
      </w:r>
      <w:bookmarkEnd w:id="32"/>
    </w:p>
    <w:p w14:paraId="1B082894">
      <w:pPr>
        <w:adjustRightInd w:val="0"/>
        <w:snapToGrid w:val="0"/>
        <w:spacing w:line="560" w:lineRule="exact"/>
        <w:ind w:firstLine="640"/>
        <w:jc w:val="both"/>
        <w:rPr>
          <w:rFonts w:ascii="Times New Roman" w:hAnsi="Times New Roman" w:eastAsia="仿宋_GB2312"/>
          <w:b w:val="0"/>
          <w:bCs/>
        </w:rPr>
      </w:pPr>
      <w:r>
        <w:rPr>
          <w:rFonts w:ascii="Times New Roman" w:hAnsi="Times New Roman" w:eastAsia="仿宋_GB2312"/>
          <w:b w:val="0"/>
          <w:bCs/>
        </w:rPr>
        <w:t>实施应急专业人才培育工程，依托招录引才渠道充实专业队伍力量。常态化开展干部专题培训、异地对标学习，提升干部履职专业化水平。完善人才激励、评价与晋升机制，加大先进典型表彰力度。深化政产学研协同联动，联合高校院所培育复合型应急人才。健全基层应急人员招录、培训、执业资格、待遇晋升制度，完善激励容错机制，充分调动基层监管队伍干事创业积极性。</w:t>
      </w:r>
    </w:p>
    <w:p w14:paraId="31F7236C">
      <w:pPr>
        <w:pStyle w:val="3"/>
        <w:adjustRightInd w:val="0"/>
        <w:snapToGrid w:val="0"/>
        <w:spacing w:before="0" w:after="0" w:line="560" w:lineRule="exact"/>
        <w:ind w:firstLine="640"/>
        <w:jc w:val="both"/>
        <w:rPr>
          <w:rFonts w:ascii="Times New Roman" w:hAnsi="Times New Roman" w:eastAsia="楷体_GB2312" w:cs="Times New Roman"/>
        </w:rPr>
      </w:pPr>
      <w:bookmarkStart w:id="33" w:name="_Toc5507"/>
      <w:r>
        <w:rPr>
          <w:rFonts w:ascii="Times New Roman" w:hAnsi="Times New Roman" w:eastAsia="楷体_GB2312" w:cs="Times New Roman"/>
        </w:rPr>
        <w:t>（四）完善动态监测</w:t>
      </w:r>
      <w:bookmarkEnd w:id="33"/>
    </w:p>
    <w:p w14:paraId="22EC9CE2">
      <w:pPr>
        <w:adjustRightInd w:val="0"/>
        <w:snapToGrid w:val="0"/>
        <w:spacing w:line="560" w:lineRule="exact"/>
        <w:ind w:firstLine="640"/>
        <w:jc w:val="both"/>
        <w:rPr>
          <w:rFonts w:ascii="Times New Roman" w:hAnsi="Times New Roman" w:eastAsia="仿宋_GB2312"/>
          <w:b w:val="0"/>
          <w:bCs/>
        </w:rPr>
      </w:pPr>
      <w:r>
        <w:rPr>
          <w:rFonts w:ascii="Times New Roman" w:hAnsi="Times New Roman" w:eastAsia="仿宋_GB2312"/>
          <w:b w:val="0"/>
          <w:bCs/>
        </w:rPr>
        <w:t>健全动态跟踪监测体系，持续跟踪各任务工程推进进度、要素保障及实施成效，定期开展全过程评估，重点核验建设进度、资金投入、实施质量及预期效益。2027年组织开展规划中期评估，结合实施情况适度优化调整规划目标、重点任务与项目布局；2030年完成规划实施成效总结评估，全面总结经验成效、梳理查摆存在问题，为“十六五”相关工作开展提供决策参考与改进依据。</w:t>
      </w:r>
    </w:p>
    <w:sectPr>
      <w:footerReference r:id="rId14" w:type="default"/>
      <w:pgSz w:w="11906" w:h="16838"/>
      <w:pgMar w:top="1814" w:right="1531" w:bottom="1984" w:left="1531" w:header="851" w:footer="794" w:gutter="0"/>
      <w:pgNumType w:start="1"/>
      <w:cols w:space="425"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3"/>
      </w:pPr>
      <w:r>
        <w:separator/>
      </w:r>
    </w:p>
  </w:endnote>
  <w:endnote w:type="continuationSeparator" w:id="1">
    <w:p>
      <w:pPr>
        <w:spacing w:line="240" w:lineRule="auto"/>
        <w:ind w:firstLine="643"/>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等线 Light">
    <w:altName w:val="华文仿宋"/>
    <w:panose1 w:val="02010600030101010101"/>
    <w:charset w:val="86"/>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方正黑体_GBK">
    <w:panose1 w:val="02000000000000000000"/>
    <w:charset w:val="86"/>
    <w:family w:val="auto"/>
    <w:pitch w:val="default"/>
    <w:sig w:usb0="00000001" w:usb1="08000000" w:usb2="00000000" w:usb3="00000000" w:csb0="00040000" w:csb1="00000000"/>
  </w:font>
  <w:font w:name="楷体_GB2312">
    <w:altName w:val="方正楷体_GBK"/>
    <w:panose1 w:val="00000000000000000000"/>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TimesNewRomanPSMT">
    <w:altName w:val="Times New Roman"/>
    <w:panose1 w:val="00000000000000000000"/>
    <w:charset w:val="00"/>
    <w:family w:val="auto"/>
    <w:pitch w:val="default"/>
    <w:sig w:usb0="00000000" w:usb1="00000000" w:usb2="00000000" w:usb3="00000000" w:csb0="00000000" w:csb1="00000000"/>
  </w:font>
  <w:font w:name="仿宋_GB2312">
    <w:altName w:val="方正仿宋_GBK"/>
    <w:panose1 w:val="00000000000000000000"/>
    <w:charset w:val="86"/>
    <w:family w:val="auto"/>
    <w:pitch w:val="default"/>
    <w:sig w:usb0="00000000" w:usb1="00000000" w:usb2="00000000" w:usb3="00000000" w:csb0="00040000" w:csb1="00000000"/>
  </w:font>
  <w:font w:name="等线">
    <w:altName w:val="华文仿宋"/>
    <w:panose1 w:val="02010600030101010101"/>
    <w:charset w:val="86"/>
    <w:family w:val="auto"/>
    <w:pitch w:val="default"/>
    <w:sig w:usb0="00000000" w:usb1="00000000"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微软雅黑">
    <w:altName w:val="方正黑体_GBK"/>
    <w:panose1 w:val="020B0503020204020204"/>
    <w:charset w:val="86"/>
    <w:family w:val="swiss"/>
    <w:pitch w:val="default"/>
    <w:sig w:usb0="00000000" w:usb1="00000000" w:usb2="00000016" w:usb3="00000000" w:csb0="0004001F" w:csb1="00000000"/>
  </w:font>
  <w:font w:name="___WRD_EMBED_SUB_45">
    <w:altName w:val="华文仿宋"/>
    <w:panose1 w:val="00000000000000000000"/>
    <w:charset w:val="86"/>
    <w:family w:val="auto"/>
    <w:pitch w:val="default"/>
    <w:sig w:usb0="00000000" w:usb1="00000000" w:usb2="00000010" w:usb3="00000000" w:csb0="00040000" w:csb1="00000000"/>
  </w:font>
  <w:font w:name="DejaVu Sans">
    <w:panose1 w:val="020B0603030804020204"/>
    <w:charset w:val="00"/>
    <w:family w:val="auto"/>
    <w:pitch w:val="default"/>
    <w:sig w:usb0="E7006EFF" w:usb1="D200FDFF" w:usb2="0A246029" w:usb3="0400200C" w:csb0="600001FF" w:csb1="DFFF0000"/>
  </w:font>
  <w:font w:name="等线 Light">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等线">
    <w:altName w:val="C059"/>
    <w:panose1 w:val="00000000000000000000"/>
    <w:charset w:val="00"/>
    <w:family w:val="auto"/>
    <w:pitch w:val="default"/>
    <w:sig w:usb0="00000000" w:usb1="00000000" w:usb2="00000000" w:usb3="00000000" w:csb0="00000000"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EA913">
    <w:pPr>
      <w:pStyle w:val="8"/>
      <w:ind w:firstLine="36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B9CB6">
    <w:pPr>
      <w:pStyle w:val="8"/>
      <w:ind w:firstLine="36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71792">
    <w:pPr>
      <w:pStyle w:val="8"/>
      <w:ind w:firstLine="36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5B7EBC">
    <w:pPr>
      <w:pStyle w:val="8"/>
      <w:ind w:firstLine="361"/>
      <w:rPr>
        <w:szCs w:val="21"/>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109D18">
                          <w:pPr>
                            <w:pStyle w:val="8"/>
                            <w:ind w:firstLine="361"/>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15109D18">
                    <w:pPr>
                      <w:pStyle w:val="8"/>
                      <w:ind w:firstLine="361"/>
                    </w:pPr>
                  </w:p>
                </w:txbxContent>
              </v:textbox>
            </v:shape>
          </w:pict>
        </mc:Fallback>
      </mc:AlternateContent>
    </w:r>
  </w:p>
  <w:p w14:paraId="3B070658">
    <w:pPr>
      <w:pStyle w:val="8"/>
      <w:ind w:firstLine="36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1332C5">
    <w:pPr>
      <w:pStyle w:val="8"/>
      <w:ind w:firstLine="361"/>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FFB34D">
                          <w:pPr>
                            <w:pStyle w:val="8"/>
                            <w:ind w:firstLine="361"/>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rPr>
                              <w:rFonts w:hint="eastAsia"/>
                            </w:rPr>
                            <w:t>33</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65FFB34D">
                    <w:pPr>
                      <w:pStyle w:val="8"/>
                      <w:ind w:firstLine="361"/>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rPr>
                        <w:rFonts w:hint="eastAsia"/>
                      </w:rPr>
                      <w:t>33</w:t>
                    </w:r>
                    <w:r>
                      <w:rPr>
                        <w:rFonts w:hint="eastAsia"/>
                      </w:rPr>
                      <w:fldChar w:fldCharType="end"/>
                    </w:r>
                    <w:r>
                      <w:rPr>
                        <w:rFonts w:hint="eastAsia"/>
                      </w:rP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11B241">
    <w:pPr>
      <w:pStyle w:val="8"/>
      <w:ind w:firstLine="361"/>
      <w:rPr>
        <w:szCs w:val="21"/>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B1D79B">
                          <w:pPr>
                            <w:pStyle w:val="8"/>
                            <w:ind w:firstLine="361"/>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33</w:t>
                          </w:r>
                          <w:r>
                            <w:rPr>
                              <w:rFonts w:hint="eastAsia"/>
                            </w:rPr>
                            <w:fldChar w:fldCharType="end"/>
                          </w:r>
                          <w:r>
                            <w:rPr>
                              <w:rFonts w:hint="eastAsia"/>
                            </w:rPr>
                            <w:t xml:space="preserve"> 页 共 34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71B1D79B">
                    <w:pPr>
                      <w:pStyle w:val="8"/>
                      <w:ind w:firstLine="361"/>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33</w:t>
                    </w:r>
                    <w:r>
                      <w:rPr>
                        <w:rFonts w:hint="eastAsia"/>
                      </w:rPr>
                      <w:fldChar w:fldCharType="end"/>
                    </w:r>
                    <w:r>
                      <w:rPr>
                        <w:rFonts w:hint="eastAsia"/>
                      </w:rPr>
                      <w:t xml:space="preserve"> 页 共 34 页</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CD6A8D">
                          <w:pPr>
                            <w:pStyle w:val="8"/>
                            <w:ind w:firstLine="361"/>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7CD6A8D">
                    <w:pPr>
                      <w:pStyle w:val="8"/>
                      <w:ind w:firstLine="361"/>
                    </w:pPr>
                  </w:p>
                </w:txbxContent>
              </v:textbox>
            </v:shape>
          </w:pict>
        </mc:Fallback>
      </mc:AlternateContent>
    </w:r>
  </w:p>
  <w:p w14:paraId="65A1A902">
    <w:pPr>
      <w:pStyle w:val="8"/>
      <w:ind w:firstLine="36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3"/>
      </w:pPr>
      <w:r>
        <w:separator/>
      </w:r>
    </w:p>
  </w:footnote>
  <w:footnote w:type="continuationSeparator" w:id="1">
    <w:p>
      <w:pPr>
        <w:spacing w:line="240" w:lineRule="auto"/>
        <w:ind w:firstLine="643"/>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B9BDF0">
    <w:pPr>
      <w:pStyle w:val="9"/>
      <w:ind w:firstLine="36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768804">
    <w:pPr>
      <w:pStyle w:val="9"/>
      <w:ind w:firstLine="36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3CAF8">
    <w:pPr>
      <w:pStyle w:val="9"/>
      <w:ind w:firstLine="36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89E2E">
    <w:pPr>
      <w:pStyle w:val="9"/>
      <w:ind w:firstLine="361"/>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05"/>
  <w:drawingGridVerticalSpacing w:val="163"/>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k4Y2UzMWY4YTM2MGE2ZDZhZGE0NzM2MmU5NzA0YTcifQ=="/>
  </w:docVars>
  <w:rsids>
    <w:rsidRoot w:val="00146D39"/>
    <w:rsid w:val="00013741"/>
    <w:rsid w:val="00024081"/>
    <w:rsid w:val="00024E11"/>
    <w:rsid w:val="0004200E"/>
    <w:rsid w:val="000449A8"/>
    <w:rsid w:val="000466F4"/>
    <w:rsid w:val="00050418"/>
    <w:rsid w:val="000535C0"/>
    <w:rsid w:val="000763BD"/>
    <w:rsid w:val="000830D4"/>
    <w:rsid w:val="00084BB7"/>
    <w:rsid w:val="00086EA9"/>
    <w:rsid w:val="00094398"/>
    <w:rsid w:val="00096F0F"/>
    <w:rsid w:val="000A5371"/>
    <w:rsid w:val="000A5503"/>
    <w:rsid w:val="000A7137"/>
    <w:rsid w:val="000B4F45"/>
    <w:rsid w:val="000C5D77"/>
    <w:rsid w:val="000E66E7"/>
    <w:rsid w:val="0011134B"/>
    <w:rsid w:val="00114CF0"/>
    <w:rsid w:val="001328AB"/>
    <w:rsid w:val="00142E74"/>
    <w:rsid w:val="00146D39"/>
    <w:rsid w:val="0015620C"/>
    <w:rsid w:val="00161029"/>
    <w:rsid w:val="001865C6"/>
    <w:rsid w:val="001946C7"/>
    <w:rsid w:val="00196E49"/>
    <w:rsid w:val="00197BBD"/>
    <w:rsid w:val="001A6D23"/>
    <w:rsid w:val="001B58EF"/>
    <w:rsid w:val="001C5204"/>
    <w:rsid w:val="001C7ED2"/>
    <w:rsid w:val="001D3157"/>
    <w:rsid w:val="001E6D4B"/>
    <w:rsid w:val="002018FB"/>
    <w:rsid w:val="002041FF"/>
    <w:rsid w:val="00217802"/>
    <w:rsid w:val="0022111D"/>
    <w:rsid w:val="00232CAF"/>
    <w:rsid w:val="0023505A"/>
    <w:rsid w:val="00237B49"/>
    <w:rsid w:val="002531C6"/>
    <w:rsid w:val="002551B4"/>
    <w:rsid w:val="00266F78"/>
    <w:rsid w:val="00272D26"/>
    <w:rsid w:val="00276279"/>
    <w:rsid w:val="002827E2"/>
    <w:rsid w:val="00283BAE"/>
    <w:rsid w:val="002A0A94"/>
    <w:rsid w:val="002A1337"/>
    <w:rsid w:val="002A587B"/>
    <w:rsid w:val="002B1830"/>
    <w:rsid w:val="002B6225"/>
    <w:rsid w:val="002D5547"/>
    <w:rsid w:val="002F16F4"/>
    <w:rsid w:val="00300199"/>
    <w:rsid w:val="00301C19"/>
    <w:rsid w:val="00303F86"/>
    <w:rsid w:val="00320C07"/>
    <w:rsid w:val="00330FAD"/>
    <w:rsid w:val="00335DC3"/>
    <w:rsid w:val="00387EDC"/>
    <w:rsid w:val="00392F7F"/>
    <w:rsid w:val="003A444F"/>
    <w:rsid w:val="003A5D97"/>
    <w:rsid w:val="003B0D81"/>
    <w:rsid w:val="003B1A82"/>
    <w:rsid w:val="003B27E4"/>
    <w:rsid w:val="003E5745"/>
    <w:rsid w:val="003E5C76"/>
    <w:rsid w:val="003E7440"/>
    <w:rsid w:val="003F6EBC"/>
    <w:rsid w:val="004309E4"/>
    <w:rsid w:val="004315F1"/>
    <w:rsid w:val="004317BA"/>
    <w:rsid w:val="00435595"/>
    <w:rsid w:val="00436F28"/>
    <w:rsid w:val="00437F2B"/>
    <w:rsid w:val="00442A2B"/>
    <w:rsid w:val="004436F8"/>
    <w:rsid w:val="004548FB"/>
    <w:rsid w:val="00463341"/>
    <w:rsid w:val="004633E9"/>
    <w:rsid w:val="00475A47"/>
    <w:rsid w:val="004A25BF"/>
    <w:rsid w:val="004A46BC"/>
    <w:rsid w:val="004A5AD2"/>
    <w:rsid w:val="004C3D9B"/>
    <w:rsid w:val="004D721C"/>
    <w:rsid w:val="004E3CEF"/>
    <w:rsid w:val="00510665"/>
    <w:rsid w:val="00515D3F"/>
    <w:rsid w:val="00521E7A"/>
    <w:rsid w:val="00530D96"/>
    <w:rsid w:val="005412D8"/>
    <w:rsid w:val="00545997"/>
    <w:rsid w:val="00547ADE"/>
    <w:rsid w:val="00550CC6"/>
    <w:rsid w:val="00556480"/>
    <w:rsid w:val="00563BF9"/>
    <w:rsid w:val="005703B8"/>
    <w:rsid w:val="005754E5"/>
    <w:rsid w:val="00577DD0"/>
    <w:rsid w:val="005812D3"/>
    <w:rsid w:val="005856BF"/>
    <w:rsid w:val="00587BF0"/>
    <w:rsid w:val="005A2EEE"/>
    <w:rsid w:val="005A4695"/>
    <w:rsid w:val="005C6F87"/>
    <w:rsid w:val="005E29FB"/>
    <w:rsid w:val="005E401B"/>
    <w:rsid w:val="005F0B66"/>
    <w:rsid w:val="005F5EE3"/>
    <w:rsid w:val="00605375"/>
    <w:rsid w:val="006258BD"/>
    <w:rsid w:val="00650F15"/>
    <w:rsid w:val="006555AD"/>
    <w:rsid w:val="006675CF"/>
    <w:rsid w:val="00686A48"/>
    <w:rsid w:val="006A1351"/>
    <w:rsid w:val="006A28C2"/>
    <w:rsid w:val="006B3214"/>
    <w:rsid w:val="006B334E"/>
    <w:rsid w:val="006C401A"/>
    <w:rsid w:val="006C5AD4"/>
    <w:rsid w:val="006D1CBE"/>
    <w:rsid w:val="006D6563"/>
    <w:rsid w:val="006E3916"/>
    <w:rsid w:val="006F2526"/>
    <w:rsid w:val="006F4A22"/>
    <w:rsid w:val="00706212"/>
    <w:rsid w:val="00714D17"/>
    <w:rsid w:val="00725066"/>
    <w:rsid w:val="00726686"/>
    <w:rsid w:val="007305F9"/>
    <w:rsid w:val="00731A71"/>
    <w:rsid w:val="007419A6"/>
    <w:rsid w:val="00741B0E"/>
    <w:rsid w:val="00763870"/>
    <w:rsid w:val="007975CC"/>
    <w:rsid w:val="007C16DA"/>
    <w:rsid w:val="007E3980"/>
    <w:rsid w:val="007E4AD2"/>
    <w:rsid w:val="00800875"/>
    <w:rsid w:val="00807AD4"/>
    <w:rsid w:val="008132E7"/>
    <w:rsid w:val="00813BFE"/>
    <w:rsid w:val="00824B8F"/>
    <w:rsid w:val="00826921"/>
    <w:rsid w:val="00836C3F"/>
    <w:rsid w:val="00846FAB"/>
    <w:rsid w:val="0086239C"/>
    <w:rsid w:val="008709CD"/>
    <w:rsid w:val="008952D9"/>
    <w:rsid w:val="008D34DB"/>
    <w:rsid w:val="008E53DF"/>
    <w:rsid w:val="008F3F26"/>
    <w:rsid w:val="008F6DEC"/>
    <w:rsid w:val="00913F1F"/>
    <w:rsid w:val="00915205"/>
    <w:rsid w:val="00917CAE"/>
    <w:rsid w:val="009327DA"/>
    <w:rsid w:val="00936E78"/>
    <w:rsid w:val="009402A1"/>
    <w:rsid w:val="00953234"/>
    <w:rsid w:val="009539F2"/>
    <w:rsid w:val="00954EC9"/>
    <w:rsid w:val="0098131A"/>
    <w:rsid w:val="00985551"/>
    <w:rsid w:val="009933BD"/>
    <w:rsid w:val="009A5915"/>
    <w:rsid w:val="009B00FB"/>
    <w:rsid w:val="009B7385"/>
    <w:rsid w:val="009B7800"/>
    <w:rsid w:val="009D17B0"/>
    <w:rsid w:val="009D3EC4"/>
    <w:rsid w:val="009D464A"/>
    <w:rsid w:val="009D75B5"/>
    <w:rsid w:val="009E26F5"/>
    <w:rsid w:val="009F1B34"/>
    <w:rsid w:val="009F694E"/>
    <w:rsid w:val="00A00FAB"/>
    <w:rsid w:val="00A02777"/>
    <w:rsid w:val="00A0374E"/>
    <w:rsid w:val="00A12FD2"/>
    <w:rsid w:val="00A16529"/>
    <w:rsid w:val="00A16EE2"/>
    <w:rsid w:val="00A26FF2"/>
    <w:rsid w:val="00A3538E"/>
    <w:rsid w:val="00A5069B"/>
    <w:rsid w:val="00A52E36"/>
    <w:rsid w:val="00A530B0"/>
    <w:rsid w:val="00A5631C"/>
    <w:rsid w:val="00A6160B"/>
    <w:rsid w:val="00A62CBE"/>
    <w:rsid w:val="00A65DAA"/>
    <w:rsid w:val="00A67109"/>
    <w:rsid w:val="00A70B1B"/>
    <w:rsid w:val="00A71322"/>
    <w:rsid w:val="00A84741"/>
    <w:rsid w:val="00A911AB"/>
    <w:rsid w:val="00A96395"/>
    <w:rsid w:val="00AA15D5"/>
    <w:rsid w:val="00AB0E18"/>
    <w:rsid w:val="00AB10A7"/>
    <w:rsid w:val="00AC7152"/>
    <w:rsid w:val="00AD01F9"/>
    <w:rsid w:val="00AD0579"/>
    <w:rsid w:val="00AD5811"/>
    <w:rsid w:val="00B03B0B"/>
    <w:rsid w:val="00B071DA"/>
    <w:rsid w:val="00B13370"/>
    <w:rsid w:val="00B5232E"/>
    <w:rsid w:val="00B612E8"/>
    <w:rsid w:val="00B61CF9"/>
    <w:rsid w:val="00B713EE"/>
    <w:rsid w:val="00B7731D"/>
    <w:rsid w:val="00BA475F"/>
    <w:rsid w:val="00BA4E74"/>
    <w:rsid w:val="00BA6F1F"/>
    <w:rsid w:val="00BB44EA"/>
    <w:rsid w:val="00BB587D"/>
    <w:rsid w:val="00BC1A9B"/>
    <w:rsid w:val="00BD68C6"/>
    <w:rsid w:val="00BE73C5"/>
    <w:rsid w:val="00BF5ADD"/>
    <w:rsid w:val="00C2079C"/>
    <w:rsid w:val="00C24FA6"/>
    <w:rsid w:val="00C26726"/>
    <w:rsid w:val="00C3588D"/>
    <w:rsid w:val="00C37AE3"/>
    <w:rsid w:val="00C37DFE"/>
    <w:rsid w:val="00C41D00"/>
    <w:rsid w:val="00C51911"/>
    <w:rsid w:val="00C5556E"/>
    <w:rsid w:val="00C66874"/>
    <w:rsid w:val="00C81027"/>
    <w:rsid w:val="00C91B9C"/>
    <w:rsid w:val="00CA1896"/>
    <w:rsid w:val="00CB7B79"/>
    <w:rsid w:val="00CD6E12"/>
    <w:rsid w:val="00CE75E6"/>
    <w:rsid w:val="00CF37EC"/>
    <w:rsid w:val="00CF39C2"/>
    <w:rsid w:val="00CF5B17"/>
    <w:rsid w:val="00CF6EDC"/>
    <w:rsid w:val="00D0369A"/>
    <w:rsid w:val="00D0729D"/>
    <w:rsid w:val="00D137FD"/>
    <w:rsid w:val="00D436F8"/>
    <w:rsid w:val="00D555EB"/>
    <w:rsid w:val="00D57B85"/>
    <w:rsid w:val="00D64E19"/>
    <w:rsid w:val="00D66410"/>
    <w:rsid w:val="00D80973"/>
    <w:rsid w:val="00D829ED"/>
    <w:rsid w:val="00D911D7"/>
    <w:rsid w:val="00DC4BB6"/>
    <w:rsid w:val="00DE2697"/>
    <w:rsid w:val="00DF1F0B"/>
    <w:rsid w:val="00DF3E97"/>
    <w:rsid w:val="00E05B58"/>
    <w:rsid w:val="00E214C1"/>
    <w:rsid w:val="00E4581C"/>
    <w:rsid w:val="00E626FF"/>
    <w:rsid w:val="00E72A85"/>
    <w:rsid w:val="00E7677C"/>
    <w:rsid w:val="00E917CF"/>
    <w:rsid w:val="00E92896"/>
    <w:rsid w:val="00EA0408"/>
    <w:rsid w:val="00EA49B1"/>
    <w:rsid w:val="00EC6DB1"/>
    <w:rsid w:val="00ED06DC"/>
    <w:rsid w:val="00EE0BBE"/>
    <w:rsid w:val="00EE3568"/>
    <w:rsid w:val="00EF69B4"/>
    <w:rsid w:val="00F027AF"/>
    <w:rsid w:val="00F07201"/>
    <w:rsid w:val="00F1645A"/>
    <w:rsid w:val="00F16979"/>
    <w:rsid w:val="00F50CB1"/>
    <w:rsid w:val="00F66C49"/>
    <w:rsid w:val="00F702C8"/>
    <w:rsid w:val="00F724A3"/>
    <w:rsid w:val="00F80BCA"/>
    <w:rsid w:val="00F860B5"/>
    <w:rsid w:val="00FA147E"/>
    <w:rsid w:val="00FB358D"/>
    <w:rsid w:val="00FD5E2D"/>
    <w:rsid w:val="00FE05D6"/>
    <w:rsid w:val="00FE4A66"/>
    <w:rsid w:val="00FE5B4E"/>
    <w:rsid w:val="00FF1E29"/>
    <w:rsid w:val="02E765EB"/>
    <w:rsid w:val="02FB29CA"/>
    <w:rsid w:val="03991D5B"/>
    <w:rsid w:val="03EF7C0C"/>
    <w:rsid w:val="03FA74AD"/>
    <w:rsid w:val="04FA61B5"/>
    <w:rsid w:val="05A6050D"/>
    <w:rsid w:val="068E7201"/>
    <w:rsid w:val="07506389"/>
    <w:rsid w:val="075F4261"/>
    <w:rsid w:val="08E570D2"/>
    <w:rsid w:val="09CB009E"/>
    <w:rsid w:val="0A8C7FBE"/>
    <w:rsid w:val="0B725930"/>
    <w:rsid w:val="0BEB3D44"/>
    <w:rsid w:val="0BF92676"/>
    <w:rsid w:val="0CFF5543"/>
    <w:rsid w:val="0D640571"/>
    <w:rsid w:val="0D694EB5"/>
    <w:rsid w:val="0DBF9AB4"/>
    <w:rsid w:val="0DEB4319"/>
    <w:rsid w:val="0E90330B"/>
    <w:rsid w:val="0ED42CA7"/>
    <w:rsid w:val="0EFE18E8"/>
    <w:rsid w:val="0F05607B"/>
    <w:rsid w:val="0F3105DA"/>
    <w:rsid w:val="0F8E7A14"/>
    <w:rsid w:val="0FF6045A"/>
    <w:rsid w:val="100153C1"/>
    <w:rsid w:val="11B13497"/>
    <w:rsid w:val="12BB6707"/>
    <w:rsid w:val="12BC2F4B"/>
    <w:rsid w:val="12BD4771"/>
    <w:rsid w:val="13EB7F12"/>
    <w:rsid w:val="14732DEB"/>
    <w:rsid w:val="14CA47F1"/>
    <w:rsid w:val="165425B7"/>
    <w:rsid w:val="16820E56"/>
    <w:rsid w:val="1716706D"/>
    <w:rsid w:val="17B469A1"/>
    <w:rsid w:val="181039D9"/>
    <w:rsid w:val="18265EE6"/>
    <w:rsid w:val="18616A13"/>
    <w:rsid w:val="18C535EB"/>
    <w:rsid w:val="18D61D33"/>
    <w:rsid w:val="18DE339F"/>
    <w:rsid w:val="190E6336"/>
    <w:rsid w:val="19583595"/>
    <w:rsid w:val="19945690"/>
    <w:rsid w:val="1A7D3260"/>
    <w:rsid w:val="1AFD2B46"/>
    <w:rsid w:val="1B044161"/>
    <w:rsid w:val="1B0F37B9"/>
    <w:rsid w:val="1B2962F4"/>
    <w:rsid w:val="1B4B7717"/>
    <w:rsid w:val="1B614855"/>
    <w:rsid w:val="1B942520"/>
    <w:rsid w:val="1C005546"/>
    <w:rsid w:val="1C1C5B1F"/>
    <w:rsid w:val="1C8906E7"/>
    <w:rsid w:val="1CB17125"/>
    <w:rsid w:val="1D3B7BAB"/>
    <w:rsid w:val="1E4B2DDE"/>
    <w:rsid w:val="1E79379A"/>
    <w:rsid w:val="1F6D51FA"/>
    <w:rsid w:val="20405DCF"/>
    <w:rsid w:val="20A80C37"/>
    <w:rsid w:val="21211F4B"/>
    <w:rsid w:val="213E712E"/>
    <w:rsid w:val="21680760"/>
    <w:rsid w:val="22044E2F"/>
    <w:rsid w:val="22FB3ADB"/>
    <w:rsid w:val="233F77FF"/>
    <w:rsid w:val="23972213"/>
    <w:rsid w:val="24353918"/>
    <w:rsid w:val="24662811"/>
    <w:rsid w:val="24F6421B"/>
    <w:rsid w:val="25AF7C37"/>
    <w:rsid w:val="25E96F99"/>
    <w:rsid w:val="26246E95"/>
    <w:rsid w:val="265036BC"/>
    <w:rsid w:val="269F4D6C"/>
    <w:rsid w:val="26DA2233"/>
    <w:rsid w:val="277E0266"/>
    <w:rsid w:val="27845D3F"/>
    <w:rsid w:val="282B6CB1"/>
    <w:rsid w:val="28854E06"/>
    <w:rsid w:val="28CC203C"/>
    <w:rsid w:val="29D86D18"/>
    <w:rsid w:val="2A680EB0"/>
    <w:rsid w:val="2A8014CB"/>
    <w:rsid w:val="2A8B4453"/>
    <w:rsid w:val="2B1B6336"/>
    <w:rsid w:val="2BF0258B"/>
    <w:rsid w:val="2C863123"/>
    <w:rsid w:val="2CC4401E"/>
    <w:rsid w:val="2D4959D9"/>
    <w:rsid w:val="2D7F7807"/>
    <w:rsid w:val="2DB86631"/>
    <w:rsid w:val="2E5E5F23"/>
    <w:rsid w:val="2E672027"/>
    <w:rsid w:val="2E995CF3"/>
    <w:rsid w:val="2EF46443"/>
    <w:rsid w:val="2FCC75CB"/>
    <w:rsid w:val="30216BBD"/>
    <w:rsid w:val="306502FC"/>
    <w:rsid w:val="314C6C2D"/>
    <w:rsid w:val="32250A71"/>
    <w:rsid w:val="32BD7183"/>
    <w:rsid w:val="32CE2225"/>
    <w:rsid w:val="33F94A05"/>
    <w:rsid w:val="344C5815"/>
    <w:rsid w:val="348D7E9B"/>
    <w:rsid w:val="34EA55DF"/>
    <w:rsid w:val="34FA4415"/>
    <w:rsid w:val="358961DD"/>
    <w:rsid w:val="362D4979"/>
    <w:rsid w:val="37B15860"/>
    <w:rsid w:val="37E43048"/>
    <w:rsid w:val="37F90C59"/>
    <w:rsid w:val="38177CC0"/>
    <w:rsid w:val="384F72A7"/>
    <w:rsid w:val="3A104045"/>
    <w:rsid w:val="3A352DC8"/>
    <w:rsid w:val="3B2C1CF8"/>
    <w:rsid w:val="3B952A01"/>
    <w:rsid w:val="3BA43A53"/>
    <w:rsid w:val="3BA725FA"/>
    <w:rsid w:val="3C7677E1"/>
    <w:rsid w:val="3D395F1B"/>
    <w:rsid w:val="3E233537"/>
    <w:rsid w:val="3F106BED"/>
    <w:rsid w:val="3FB07A6E"/>
    <w:rsid w:val="406C365B"/>
    <w:rsid w:val="408561C2"/>
    <w:rsid w:val="40BC617F"/>
    <w:rsid w:val="40C91675"/>
    <w:rsid w:val="41B92001"/>
    <w:rsid w:val="41F07829"/>
    <w:rsid w:val="43C95F0E"/>
    <w:rsid w:val="43FC4C6B"/>
    <w:rsid w:val="443A249B"/>
    <w:rsid w:val="44BA6E46"/>
    <w:rsid w:val="454F192E"/>
    <w:rsid w:val="465A6FAC"/>
    <w:rsid w:val="46A5691E"/>
    <w:rsid w:val="47012979"/>
    <w:rsid w:val="47445B75"/>
    <w:rsid w:val="47565413"/>
    <w:rsid w:val="47FA491B"/>
    <w:rsid w:val="485A7DD1"/>
    <w:rsid w:val="48FA4B7D"/>
    <w:rsid w:val="492A1874"/>
    <w:rsid w:val="498215A6"/>
    <w:rsid w:val="4A4F4591"/>
    <w:rsid w:val="4A6026A0"/>
    <w:rsid w:val="4AE5163A"/>
    <w:rsid w:val="4BC7E2A4"/>
    <w:rsid w:val="4BED4D98"/>
    <w:rsid w:val="4CC97F13"/>
    <w:rsid w:val="4D672F54"/>
    <w:rsid w:val="4DEB66DB"/>
    <w:rsid w:val="4F895D29"/>
    <w:rsid w:val="505911D8"/>
    <w:rsid w:val="50786369"/>
    <w:rsid w:val="50FD01E3"/>
    <w:rsid w:val="51625087"/>
    <w:rsid w:val="5248061A"/>
    <w:rsid w:val="524D13AE"/>
    <w:rsid w:val="52566094"/>
    <w:rsid w:val="52CD0043"/>
    <w:rsid w:val="53296C80"/>
    <w:rsid w:val="533A4436"/>
    <w:rsid w:val="53CB0948"/>
    <w:rsid w:val="53CF4FAE"/>
    <w:rsid w:val="54231262"/>
    <w:rsid w:val="54777A93"/>
    <w:rsid w:val="55274021"/>
    <w:rsid w:val="55A82E41"/>
    <w:rsid w:val="55AE0AF5"/>
    <w:rsid w:val="562E2C70"/>
    <w:rsid w:val="56C13FCA"/>
    <w:rsid w:val="570564A1"/>
    <w:rsid w:val="57324E19"/>
    <w:rsid w:val="573F79B1"/>
    <w:rsid w:val="574626AA"/>
    <w:rsid w:val="57725C07"/>
    <w:rsid w:val="583112C6"/>
    <w:rsid w:val="585E7387"/>
    <w:rsid w:val="58BF08BB"/>
    <w:rsid w:val="592A69CD"/>
    <w:rsid w:val="59632506"/>
    <w:rsid w:val="59685B67"/>
    <w:rsid w:val="5AF86984"/>
    <w:rsid w:val="5B360C09"/>
    <w:rsid w:val="5B61590A"/>
    <w:rsid w:val="5B75749D"/>
    <w:rsid w:val="5CC46711"/>
    <w:rsid w:val="5D6B47C2"/>
    <w:rsid w:val="5D9B729C"/>
    <w:rsid w:val="5E33141A"/>
    <w:rsid w:val="5F657A88"/>
    <w:rsid w:val="5FE30E76"/>
    <w:rsid w:val="5FEB0458"/>
    <w:rsid w:val="608D52DA"/>
    <w:rsid w:val="609C078D"/>
    <w:rsid w:val="60CE33B8"/>
    <w:rsid w:val="6118527D"/>
    <w:rsid w:val="618C5EFB"/>
    <w:rsid w:val="6201415D"/>
    <w:rsid w:val="64B806ED"/>
    <w:rsid w:val="64D771FD"/>
    <w:rsid w:val="657F0043"/>
    <w:rsid w:val="661B718B"/>
    <w:rsid w:val="66927980"/>
    <w:rsid w:val="66B2165A"/>
    <w:rsid w:val="67360893"/>
    <w:rsid w:val="68BD34A1"/>
    <w:rsid w:val="69F58BFA"/>
    <w:rsid w:val="6B02536F"/>
    <w:rsid w:val="6B585E72"/>
    <w:rsid w:val="6B6326EB"/>
    <w:rsid w:val="6BC65FB6"/>
    <w:rsid w:val="6C6944B1"/>
    <w:rsid w:val="6C727AC3"/>
    <w:rsid w:val="6CDC4C2D"/>
    <w:rsid w:val="6D4915B5"/>
    <w:rsid w:val="6D6D7D28"/>
    <w:rsid w:val="6E2F76DE"/>
    <w:rsid w:val="6EB26CC3"/>
    <w:rsid w:val="6F0B34E1"/>
    <w:rsid w:val="6F894064"/>
    <w:rsid w:val="6FF0532E"/>
    <w:rsid w:val="702230F4"/>
    <w:rsid w:val="706324BF"/>
    <w:rsid w:val="70960C04"/>
    <w:rsid w:val="7271120B"/>
    <w:rsid w:val="729A4C6F"/>
    <w:rsid w:val="73182F6E"/>
    <w:rsid w:val="737A704D"/>
    <w:rsid w:val="73980A5B"/>
    <w:rsid w:val="73F670D5"/>
    <w:rsid w:val="747162DC"/>
    <w:rsid w:val="74E44879"/>
    <w:rsid w:val="74F97993"/>
    <w:rsid w:val="76C37683"/>
    <w:rsid w:val="77A96359"/>
    <w:rsid w:val="77E654B1"/>
    <w:rsid w:val="79401CB5"/>
    <w:rsid w:val="79A32EB2"/>
    <w:rsid w:val="7A3D33F7"/>
    <w:rsid w:val="7B3C04BD"/>
    <w:rsid w:val="7B6B473B"/>
    <w:rsid w:val="7BB46C8D"/>
    <w:rsid w:val="7BC72359"/>
    <w:rsid w:val="7BDE0346"/>
    <w:rsid w:val="7C78400C"/>
    <w:rsid w:val="7C900A9E"/>
    <w:rsid w:val="7CF00220"/>
    <w:rsid w:val="7D087581"/>
    <w:rsid w:val="7D3FD01E"/>
    <w:rsid w:val="7DEE405C"/>
    <w:rsid w:val="7E3BB83D"/>
    <w:rsid w:val="7E803676"/>
    <w:rsid w:val="7F245D09"/>
    <w:rsid w:val="A7FFE548"/>
    <w:rsid w:val="A9BFCDED"/>
    <w:rsid w:val="CF177F4B"/>
    <w:rsid w:val="D9CC9497"/>
    <w:rsid w:val="DBDFF70A"/>
    <w:rsid w:val="DFDD8AFE"/>
    <w:rsid w:val="FD1C1C9E"/>
    <w:rsid w:val="FE9187D8"/>
    <w:rsid w:val="FFBE0E3F"/>
    <w:rsid w:val="FFFD2B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overflowPunct w:val="0"/>
      <w:autoSpaceDE w:val="0"/>
      <w:autoSpaceDN w:val="0"/>
      <w:spacing w:line="580" w:lineRule="exact"/>
      <w:ind w:firstLine="643" w:firstLineChars="200"/>
    </w:pPr>
    <w:rPr>
      <w:rFonts w:ascii="仿宋" w:hAnsi="仿宋" w:eastAsia="仿宋" w:cs="Times New Roman"/>
      <w:b/>
      <w:snapToGrid w:val="0"/>
      <w:sz w:val="32"/>
      <w:szCs w:val="32"/>
      <w:lang w:val="en-US" w:eastAsia="zh-CN" w:bidi="ar-SA"/>
    </w:rPr>
  </w:style>
  <w:style w:type="paragraph" w:styleId="2">
    <w:name w:val="heading 1"/>
    <w:basedOn w:val="1"/>
    <w:next w:val="1"/>
    <w:link w:val="20"/>
    <w:autoRedefine/>
    <w:qFormat/>
    <w:uiPriority w:val="9"/>
    <w:pPr>
      <w:keepNext/>
      <w:keepLines/>
      <w:spacing w:before="340" w:after="330" w:line="578" w:lineRule="auto"/>
      <w:jc w:val="center"/>
      <w:outlineLvl w:val="0"/>
    </w:pPr>
    <w:rPr>
      <w:b w:val="0"/>
      <w:bCs/>
      <w:kern w:val="44"/>
    </w:rPr>
  </w:style>
  <w:style w:type="paragraph" w:styleId="3">
    <w:name w:val="heading 2"/>
    <w:basedOn w:val="1"/>
    <w:next w:val="1"/>
    <w:link w:val="21"/>
    <w:autoRedefine/>
    <w:unhideWhenUsed/>
    <w:qFormat/>
    <w:uiPriority w:val="9"/>
    <w:pPr>
      <w:keepNext/>
      <w:keepLines/>
      <w:spacing w:before="260" w:after="260" w:line="416" w:lineRule="auto"/>
      <w:outlineLvl w:val="1"/>
    </w:pPr>
    <w:rPr>
      <w:rFonts w:asciiTheme="majorHAnsi" w:hAnsiTheme="majorHAnsi" w:eastAsiaTheme="majorEastAsia" w:cstheme="majorBidi"/>
      <w:b w:val="0"/>
      <w:bCs/>
    </w:rPr>
  </w:style>
  <w:style w:type="paragraph" w:styleId="4">
    <w:name w:val="heading 3"/>
    <w:basedOn w:val="1"/>
    <w:next w:val="1"/>
    <w:link w:val="22"/>
    <w:autoRedefine/>
    <w:unhideWhenUsed/>
    <w:qFormat/>
    <w:uiPriority w:val="9"/>
    <w:pPr>
      <w:keepNext/>
      <w:keepLines/>
      <w:spacing w:before="260" w:after="260" w:line="416" w:lineRule="auto"/>
      <w:outlineLvl w:val="2"/>
    </w:pPr>
    <w:rPr>
      <w:b w:val="0"/>
      <w:bCs/>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autoRedefine/>
    <w:semiHidden/>
    <w:unhideWhenUsed/>
    <w:qFormat/>
    <w:uiPriority w:val="99"/>
  </w:style>
  <w:style w:type="paragraph" w:styleId="6">
    <w:name w:val="Body Text"/>
    <w:basedOn w:val="1"/>
    <w:autoRedefine/>
    <w:qFormat/>
    <w:uiPriority w:val="1"/>
    <w:pPr>
      <w:ind w:left="117" w:firstLine="638"/>
    </w:pPr>
    <w:rPr>
      <w:rFonts w:ascii="方正仿宋_GBK" w:hAnsi="方正仿宋_GBK" w:eastAsia="方正仿宋_GBK" w:cs="方正仿宋_GBK"/>
      <w:lang w:val="zh-CN" w:bidi="zh-CN"/>
    </w:rPr>
  </w:style>
  <w:style w:type="paragraph" w:styleId="7">
    <w:name w:val="Balloon Text"/>
    <w:basedOn w:val="1"/>
    <w:link w:val="29"/>
    <w:autoRedefine/>
    <w:semiHidden/>
    <w:unhideWhenUsed/>
    <w:qFormat/>
    <w:uiPriority w:val="99"/>
    <w:rPr>
      <w:sz w:val="18"/>
      <w:szCs w:val="18"/>
    </w:rPr>
  </w:style>
  <w:style w:type="paragraph" w:styleId="8">
    <w:name w:val="footer"/>
    <w:basedOn w:val="1"/>
    <w:link w:val="19"/>
    <w:autoRedefine/>
    <w:unhideWhenUsed/>
    <w:qFormat/>
    <w:uiPriority w:val="99"/>
    <w:pPr>
      <w:tabs>
        <w:tab w:val="center" w:pos="4153"/>
        <w:tab w:val="right" w:pos="8306"/>
      </w:tabs>
      <w:snapToGrid w:val="0"/>
    </w:pPr>
    <w:rPr>
      <w:sz w:val="18"/>
      <w:szCs w:val="18"/>
    </w:rPr>
  </w:style>
  <w:style w:type="paragraph" w:styleId="9">
    <w:name w:val="header"/>
    <w:basedOn w:val="1"/>
    <w:link w:val="1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toc 1"/>
    <w:basedOn w:val="1"/>
    <w:next w:val="1"/>
    <w:autoRedefine/>
    <w:qFormat/>
    <w:uiPriority w:val="39"/>
    <w:pPr>
      <w:spacing w:line="480" w:lineRule="exact"/>
    </w:pPr>
    <w:rPr>
      <w:rFonts w:ascii="黑体" w:hAnsi="黑体" w:eastAsia="黑体"/>
    </w:rPr>
  </w:style>
  <w:style w:type="paragraph" w:styleId="11">
    <w:name w:val="toc 2"/>
    <w:basedOn w:val="1"/>
    <w:next w:val="1"/>
    <w:autoRedefine/>
    <w:qFormat/>
    <w:uiPriority w:val="39"/>
    <w:pPr>
      <w:ind w:left="420" w:leftChars="200"/>
    </w:pPr>
    <w:rPr>
      <w:rFonts w:ascii="楷体_GB2312" w:eastAsia="楷体_GB2312"/>
    </w:rPr>
  </w:style>
  <w:style w:type="paragraph" w:styleId="12">
    <w:name w:val="HTML Preformatted"/>
    <w:basedOn w:val="1"/>
    <w:autoRedefine/>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int="eastAsia" w:ascii="宋体" w:hAnsi="宋体" w:eastAsia="宋体"/>
      <w:sz w:val="24"/>
      <w:szCs w:val="24"/>
    </w:rPr>
  </w:style>
  <w:style w:type="table" w:styleId="14">
    <w:name w:val="Table Grid"/>
    <w:basedOn w:val="13"/>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Hyperlink"/>
    <w:basedOn w:val="15"/>
    <w:autoRedefine/>
    <w:unhideWhenUsed/>
    <w:qFormat/>
    <w:uiPriority w:val="99"/>
    <w:rPr>
      <w:color w:val="0563C1" w:themeColor="hyperlink"/>
      <w:u w:val="single"/>
      <w14:textFill>
        <w14:solidFill>
          <w14:schemeClr w14:val="hlink"/>
        </w14:solidFill>
      </w14:textFill>
    </w:rPr>
  </w:style>
  <w:style w:type="character" w:styleId="17">
    <w:name w:val="annotation reference"/>
    <w:basedOn w:val="15"/>
    <w:autoRedefine/>
    <w:semiHidden/>
    <w:unhideWhenUsed/>
    <w:qFormat/>
    <w:uiPriority w:val="99"/>
    <w:rPr>
      <w:sz w:val="21"/>
      <w:szCs w:val="21"/>
    </w:rPr>
  </w:style>
  <w:style w:type="character" w:customStyle="1" w:styleId="18">
    <w:name w:val="页眉 字符"/>
    <w:basedOn w:val="15"/>
    <w:link w:val="9"/>
    <w:autoRedefine/>
    <w:qFormat/>
    <w:uiPriority w:val="99"/>
    <w:rPr>
      <w:sz w:val="18"/>
      <w:szCs w:val="18"/>
    </w:rPr>
  </w:style>
  <w:style w:type="character" w:customStyle="1" w:styleId="19">
    <w:name w:val="页脚 字符"/>
    <w:basedOn w:val="15"/>
    <w:link w:val="8"/>
    <w:autoRedefine/>
    <w:qFormat/>
    <w:uiPriority w:val="99"/>
    <w:rPr>
      <w:sz w:val="18"/>
      <w:szCs w:val="18"/>
    </w:rPr>
  </w:style>
  <w:style w:type="character" w:customStyle="1" w:styleId="20">
    <w:name w:val="标题 1 字符"/>
    <w:basedOn w:val="15"/>
    <w:link w:val="2"/>
    <w:autoRedefine/>
    <w:qFormat/>
    <w:uiPriority w:val="9"/>
    <w:rPr>
      <w:rFonts w:ascii="仿宋" w:hAnsi="仿宋" w:eastAsia="仿宋"/>
      <w:b/>
      <w:bCs/>
      <w:snapToGrid w:val="0"/>
      <w:kern w:val="44"/>
      <w:sz w:val="32"/>
      <w:szCs w:val="32"/>
    </w:rPr>
  </w:style>
  <w:style w:type="character" w:customStyle="1" w:styleId="21">
    <w:name w:val="标题 2 字符"/>
    <w:basedOn w:val="15"/>
    <w:link w:val="3"/>
    <w:autoRedefine/>
    <w:qFormat/>
    <w:uiPriority w:val="9"/>
    <w:rPr>
      <w:rFonts w:asciiTheme="majorHAnsi" w:hAnsiTheme="majorHAnsi" w:eastAsiaTheme="majorEastAsia" w:cstheme="majorBidi"/>
      <w:b/>
      <w:bCs/>
      <w:sz w:val="32"/>
      <w:szCs w:val="32"/>
    </w:rPr>
  </w:style>
  <w:style w:type="character" w:customStyle="1" w:styleId="22">
    <w:name w:val="标题 3 字符"/>
    <w:basedOn w:val="15"/>
    <w:link w:val="4"/>
    <w:autoRedefine/>
    <w:qFormat/>
    <w:uiPriority w:val="9"/>
    <w:rPr>
      <w:b/>
      <w:bCs/>
      <w:sz w:val="32"/>
      <w:szCs w:val="32"/>
    </w:rPr>
  </w:style>
  <w:style w:type="paragraph" w:customStyle="1" w:styleId="23">
    <w:name w:val="段"/>
    <w:next w:val="1"/>
    <w:autoRedefine/>
    <w:qFormat/>
    <w:uiPriority w:val="99"/>
    <w:pPr>
      <w:autoSpaceDE w:val="0"/>
      <w:autoSpaceDN w:val="0"/>
      <w:jc w:val="center"/>
    </w:pPr>
    <w:rPr>
      <w:rFonts w:ascii="宋体" w:hAnsi="Calibri" w:eastAsia="宋体" w:cs="宋体"/>
      <w:sz w:val="21"/>
      <w:szCs w:val="21"/>
      <w:lang w:val="en-US" w:eastAsia="zh-CN" w:bidi="ar-SA"/>
    </w:rPr>
  </w:style>
  <w:style w:type="character" w:customStyle="1" w:styleId="24">
    <w:name w:val="fontstyle41"/>
    <w:basedOn w:val="15"/>
    <w:autoRedefine/>
    <w:qFormat/>
    <w:uiPriority w:val="0"/>
    <w:rPr>
      <w:rFonts w:ascii="楷体_GB2312" w:hAnsi="楷体_GB2312" w:eastAsia="楷体_GB2312" w:cs="楷体_GB2312"/>
      <w:color w:val="000000"/>
      <w:sz w:val="32"/>
      <w:szCs w:val="32"/>
    </w:rPr>
  </w:style>
  <w:style w:type="character" w:customStyle="1" w:styleId="25">
    <w:name w:val="fontstyle31"/>
    <w:basedOn w:val="15"/>
    <w:autoRedefine/>
    <w:qFormat/>
    <w:uiPriority w:val="0"/>
    <w:rPr>
      <w:rFonts w:ascii="TimesNewRomanPSMT" w:hAnsi="TimesNewRomanPSMT" w:eastAsia="TimesNewRomanPSMT" w:cs="TimesNewRomanPSMT"/>
      <w:color w:val="000000"/>
      <w:sz w:val="32"/>
      <w:szCs w:val="32"/>
    </w:rPr>
  </w:style>
  <w:style w:type="character" w:customStyle="1" w:styleId="26">
    <w:name w:val="fontstyle21"/>
    <w:basedOn w:val="15"/>
    <w:autoRedefine/>
    <w:qFormat/>
    <w:uiPriority w:val="0"/>
    <w:rPr>
      <w:rFonts w:ascii="TimesNewRomanPSMT" w:hAnsi="TimesNewRomanPSMT" w:eastAsia="TimesNewRomanPSMT" w:cs="TimesNewRomanPSMT"/>
      <w:color w:val="000000"/>
      <w:sz w:val="32"/>
      <w:szCs w:val="32"/>
    </w:rPr>
  </w:style>
  <w:style w:type="character" w:customStyle="1" w:styleId="27">
    <w:name w:val="fontstyle01"/>
    <w:basedOn w:val="15"/>
    <w:autoRedefine/>
    <w:qFormat/>
    <w:uiPriority w:val="0"/>
    <w:rPr>
      <w:rFonts w:ascii="仿宋_GB2312" w:hAnsi="仿宋_GB2312" w:eastAsia="仿宋_GB2312" w:cs="仿宋_GB2312"/>
      <w:color w:val="000000"/>
      <w:sz w:val="32"/>
      <w:szCs w:val="32"/>
    </w:rPr>
  </w:style>
  <w:style w:type="character" w:customStyle="1" w:styleId="28">
    <w:name w:val="fontstyle11"/>
    <w:basedOn w:val="15"/>
    <w:autoRedefine/>
    <w:qFormat/>
    <w:uiPriority w:val="0"/>
    <w:rPr>
      <w:rFonts w:ascii="TimesNewRomanPSMT" w:hAnsi="TimesNewRomanPSMT" w:eastAsia="TimesNewRomanPSMT" w:cs="TimesNewRomanPSMT"/>
      <w:color w:val="000000"/>
      <w:sz w:val="32"/>
      <w:szCs w:val="32"/>
    </w:rPr>
  </w:style>
  <w:style w:type="character" w:customStyle="1" w:styleId="29">
    <w:name w:val="批注框文本 字符"/>
    <w:basedOn w:val="15"/>
    <w:link w:val="7"/>
    <w:autoRedefine/>
    <w:semiHidden/>
    <w:qFormat/>
    <w:uiPriority w:val="99"/>
    <w:rPr>
      <w:rFonts w:asciiTheme="minorHAnsi" w:hAnsiTheme="minorHAnsi" w:eastAsiaTheme="minorEastAsia" w:cstheme="minorBidi"/>
      <w:kern w:val="2"/>
      <w:sz w:val="18"/>
      <w:szCs w:val="18"/>
    </w:rPr>
  </w:style>
  <w:style w:type="paragraph" w:customStyle="1" w:styleId="30">
    <w:name w:val="WPSOffice手动目录 1"/>
    <w:autoRedefine/>
    <w:qFormat/>
    <w:uiPriority w:val="0"/>
    <w:rPr>
      <w:rFonts w:asciiTheme="minorHAnsi" w:hAnsiTheme="minorHAnsi" w:eastAsiaTheme="minorEastAsia" w:cstheme="minorBidi"/>
      <w:lang w:val="en-US" w:eastAsia="zh-CN" w:bidi="ar-SA"/>
    </w:rPr>
  </w:style>
  <w:style w:type="paragraph" w:customStyle="1" w:styleId="31">
    <w:name w:val="WPSOffice手动目录 2"/>
    <w:autoRedefine/>
    <w:qFormat/>
    <w:uiPriority w:val="0"/>
    <w:pPr>
      <w:ind w:left="200" w:leftChars="200"/>
    </w:pPr>
    <w:rPr>
      <w:rFonts w:asciiTheme="minorHAnsi" w:hAnsiTheme="minorHAnsi" w:eastAsiaTheme="minorEastAsia" w:cstheme="minorBidi"/>
      <w:lang w:val="en-US" w:eastAsia="zh-CN" w:bidi="ar-SA"/>
    </w:rPr>
  </w:style>
  <w:style w:type="paragraph" w:styleId="32">
    <w:name w:val="List Paragraph"/>
    <w:basedOn w:val="1"/>
    <w:qFormat/>
    <w:uiPriority w:val="99"/>
    <w:pPr>
      <w:ind w:firstLine="420"/>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3.xml"/><Relationship Id="rId17" Type="http://schemas.openxmlformats.org/officeDocument/2006/relationships/customXml" Target="../customXml/item2.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StyleName="APA" SelectedStyle="\APASixthEditionOfficeOnline.xsl" Version="6"/>
</file>

<file path=customXml/item3.xml><?xml version="1.0" encoding="utf-8"?>
<contractReview xmlns="http://schemas.wps.cn/vas-ai-hub/contract-review">
  <reviewItems xmlns="http://schemas.wps.cn/vas-ai-hub/contract-review">
    <reviewItem xmlns="http://schemas.wps.cn/vas-ai-hub/contract-review">
      <errorID xmlns="http://schemas.wps.cn/vas-ai-hub/contract-review">dba9f761-d8a8-4e87-a58a-f90cc229ca0b</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》等</item>
      </candidateList>
      <explain xmlns="http://schemas.wps.cn/vas-ai-hub/contract-review"/>
      <paraID xmlns="http://schemas.wps.cn/vas-ai-hub/contract-review">7F1FF2C1</paraID>
      <start xmlns="http://schemas.wps.cn/vas-ai-hub/contract-review">155</start>
      <end xmlns="http://schemas.wps.cn/vas-ai-hub/contract-review">156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882bcc9f-aae4-4602-ba84-cd724e86937f</errorID>
      <errorWord xmlns="http://schemas.wps.cn/vas-ai-hub/contract-review">态</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态化</item>
      </candidateList>
      <explain xmlns="http://schemas.wps.cn/vas-ai-hub/contract-review"/>
      <paraID xmlns="http://schemas.wps.cn/vas-ai-hub/contract-review"> 4712413</paraID>
      <start xmlns="http://schemas.wps.cn/vas-ai-hub/contract-review">248</start>
      <end xmlns="http://schemas.wps.cn/vas-ai-hub/contract-review">249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a1d280c5-8583-44c2-ac93-018dacfa1f17</errorID>
      <errorWord xmlns="http://schemas.wps.cn/vas-ai-hub/contract-review">存</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存在</item>
      </candidateList>
      <explain xmlns="http://schemas.wps.cn/vas-ai-hub/contract-review"/>
      <paraID xmlns="http://schemas.wps.cn/vas-ai-hub/contract-review">2C10219D</paraID>
      <start xmlns="http://schemas.wps.cn/vas-ai-hub/contract-review">560</start>
      <end xmlns="http://schemas.wps.cn/vas-ai-hub/contract-review">561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b2c12146-9d82-469e-9bc8-730fdbbee4ba</errorID>
      <errorWord xmlns="http://schemas.wps.cn/vas-ai-hub/contract-review">各个部门</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各部门</item>
      </candidateList>
      <explain xmlns="http://schemas.wps.cn/vas-ai-hub/contract-review"/>
      <paraID xmlns="http://schemas.wps.cn/vas-ai-hub/contract-review">562AA0A4</paraID>
      <start xmlns="http://schemas.wps.cn/vas-ai-hub/contract-review">899</start>
      <end xmlns="http://schemas.wps.cn/vas-ai-hub/contract-review">903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e88c205d-893b-497b-8112-6b3802cf7bfb</errorID>
      <errorWord xmlns="http://schemas.wps.cn/vas-ai-hub/contract-review">党中央国务院</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党中央、国务院</item>
      </candidateList>
      <explain xmlns="http://schemas.wps.cn/vas-ai-hub/contract-review">注意检查当前固定表述标点是否使用规范。</explain>
      <paraID xmlns="http://schemas.wps.cn/vas-ai-hub/contract-review">73940881</paraID>
      <start xmlns="http://schemas.wps.cn/vas-ai-hub/contract-review">106</start>
      <end xmlns="http://schemas.wps.cn/vas-ai-hub/contract-review">112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9f6cb716-8d0d-49ac-8632-ded215a1578c</errorID>
      <errorWord xmlns="http://schemas.wps.cn/vas-ai-hub/contract-review">省委省政府</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省委、省政府</item>
      </candidateList>
      <explain xmlns="http://schemas.wps.cn/vas-ai-hub/contract-review">注意检查当前固定表述标点是否使用规范。</explain>
      <paraID xmlns="http://schemas.wps.cn/vas-ai-hub/contract-review">73940881</paraID>
      <start xmlns="http://schemas.wps.cn/vas-ai-hub/contract-review">113</start>
      <end xmlns="http://schemas.wps.cn/vas-ai-hub/contract-review">118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89294777-2d11-42e0-90a6-8d82e6a8484f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&lt;</item>
      </candidateList>
      <explain xmlns="http://schemas.wps.cn/vas-ai-hub/contract-review">文本全半角错误。</explain>
      <paraID xmlns="http://schemas.wps.cn/vas-ai-hub/contract-review">27383328</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d8a63394-f7b6-4bb9-82de-50c6d8eac6ff</errorID>
      <errorWord xmlns="http://schemas.wps.cn/vas-ai-hub/contract-review">页</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册</item>
      </candidateList>
      <explain xmlns="http://schemas.wps.cn/vas-ai-hub/contract-review">请检查“页”是否为量词使用错误，建议修改为“册”。</explain>
      <paraID xmlns="http://schemas.wps.cn/vas-ai-hub/contract-review">60A081F7</paraID>
      <start xmlns="http://schemas.wps.cn/vas-ai-hub/contract-review">711</start>
      <end xmlns="http://schemas.wps.cn/vas-ai-hub/contract-review">712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22bcbeea-2996-4707-8aaf-597fc7299afb</errorID>
      <errorWord xmlns="http://schemas.wps.cn/vas-ai-hub/contract-review">两个责任</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“两个责任”</item>
      </candidateList>
      <explain xmlns="http://schemas.wps.cn/vas-ai-hub/contract-review">注意检查当前固定表述标点是否使用规范。</explain>
      <paraID xmlns="http://schemas.wps.cn/vas-ai-hub/contract-review">22445E81</paraID>
      <start xmlns="http://schemas.wps.cn/vas-ai-hub/contract-review">344</start>
      <end xmlns="http://schemas.wps.cn/vas-ai-hub/contract-review">348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20c4abe7-3af5-403b-9ee2-ccdbf71328b5</errorID>
      <errorWord xmlns="http://schemas.wps.cn/vas-ai-hub/contract-review">态</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态化</item>
      </candidateList>
      <explain xmlns="http://schemas.wps.cn/vas-ai-hub/contract-review"/>
      <paraID xmlns="http://schemas.wps.cn/vas-ai-hub/contract-review">78DB2FAD</paraID>
      <start xmlns="http://schemas.wps.cn/vas-ai-hub/contract-review">261</start>
      <end xmlns="http://schemas.wps.cn/vas-ai-hub/contract-review">262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ac7a79b9-2baa-4c58-8bb9-81069629d936</errorID>
      <errorWord xmlns="http://schemas.wps.cn/vas-ai-hub/contract-review">A级景区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A级旅游景区</item>
      </candidateList>
      <explain xmlns="http://schemas.wps.cn/vas-ai-hub/contract-review"/>
      <paraID xmlns="http://schemas.wps.cn/vas-ai-hub/contract-review">61A55F82</paraID>
      <start xmlns="http://schemas.wps.cn/vas-ai-hub/contract-review">319</start>
      <end xmlns="http://schemas.wps.cn/vas-ai-hub/contract-review">323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cede311b-a77f-4f3e-b7ee-99023e2d9896</errorID>
      <errorWord xmlns="http://schemas.wps.cn/vas-ai-hub/contract-review">一组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一支</item>
      </candidateList>
      <explain xmlns="http://schemas.wps.cn/vas-ai-hub/contract-review"/>
      <paraID xmlns="http://schemas.wps.cn/vas-ai-hub/contract-review">60F591F6</paraID>
      <start xmlns="http://schemas.wps.cn/vas-ai-hub/contract-review">67</start>
      <end xmlns="http://schemas.wps.cn/vas-ai-hub/contract-review">69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f420b137-2da1-4741-b91c-a612f1466aed</errorID>
      <errorWord xmlns="http://schemas.wps.cn/vas-ai-hub/contract-review">污水厂</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污水处理厂</item>
      </candidateList>
      <explain xmlns="http://schemas.wps.cn/vas-ai-hub/contract-review"/>
      <paraID xmlns="http://schemas.wps.cn/vas-ai-hub/contract-review">1E6F91BC</paraID>
      <start xmlns="http://schemas.wps.cn/vas-ai-hub/contract-review">143</start>
      <end xmlns="http://schemas.wps.cn/vas-ai-hub/contract-review">146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7f4e365b-af8a-483b-b962-3fdb5d871400</errorID>
      <errorWord xmlns="http://schemas.wps.cn/vas-ai-hub/contract-review">十十</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十三</item>
      </candidateList>
      <explain xmlns="http://schemas.wps.cn/vas-ai-hub/contract-review"/>
      <paraID xmlns="http://schemas.wps.cn/vas-ai-hub/contract-review">72A6D8B6</paraID>
      <start xmlns="http://schemas.wps.cn/vas-ai-hub/contract-review">272</start>
      <end xmlns="http://schemas.wps.cn/vas-ai-hub/contract-review">274</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C98253E-7F41-41C7-8365-67F4E3447730}">
  <ds:schemaRefs/>
</ds:datastoreItem>
</file>

<file path=customXml/itemProps3.xml><?xml version="1.0" encoding="utf-8"?>
<ds:datastoreItem xmlns:ds="http://schemas.openxmlformats.org/officeDocument/2006/customXml" ds:itemID="{15FE990A-3279-4BE0-AC3F-9177493DCFE5}">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37</Pages>
  <Words>3555</Words>
  <Characters>20266</Characters>
  <Lines>168</Lines>
  <Paragraphs>47</Paragraphs>
  <TotalTime>17</TotalTime>
  <ScaleCrop>false</ScaleCrop>
  <LinksUpToDate>false</LinksUpToDate>
  <CharactersWithSpaces>23774</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2026-05-28T16:33:00Z</dcterms:created>
  <dc:creator>wangbin_aky</dc:creator>
  <cp:lastModifiedBy>yingji</cp:lastModifiedBy>
  <cp:lastPrinted>2026-01-23T20:09:00Z</cp:lastPrinted>
  <dcterms:modified xsi:type="dcterms:W3CDTF">2026-08-13T15:06:31Z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eyJoZGlkIjoiNzM4NThkZDUzZjI3MjM2NjVmZDQ0ZTdlZmNjYWM2M2IiLCJ1c2VySWQiOiI0NDI2MzExNzIifQ==</vt:lpwstr>
  </property>
  <property fmtid="{D5CDD505-2E9C-101B-9397-08002B2CF9AE}" pid="3" name="KSOProductBuildVer">
    <vt:lpwstr>2052-12.1.2.23578</vt:lpwstr>
  </property>
  <property fmtid="{D5CDD505-2E9C-101B-9397-08002B2CF9AE}" pid="4" name="ICV">
    <vt:lpwstr>2EC2A027669EE0CCF76C7D6A01DC6758_43</vt:lpwstr>
  </property>
</Properties>
</file>